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马克思主义学院研究生学位论文开题论证工作的通知</w:t>
      </w:r>
    </w:p>
    <w:p>
      <w:pPr>
        <w:jc w:val="center"/>
        <w:rPr>
          <w:rFonts w:hint="eastAsia" w:ascii="微软雅黑" w:hAnsi="微软雅黑" w:eastAsia="微软雅黑" w:cs="微软雅黑"/>
          <w:sz w:val="32"/>
          <w:szCs w:val="32"/>
          <w:lang w:val="en-US" w:eastAsia="zh-CN"/>
        </w:rPr>
      </w:pPr>
    </w:p>
    <w:p>
      <w:pPr>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各位导师及20</w:t>
      </w:r>
      <w:r>
        <w:rPr>
          <w:rFonts w:hint="eastAsia" w:ascii="仿宋" w:hAnsi="仿宋" w:eastAsia="仿宋" w:cs="仿宋"/>
          <w:i w:val="0"/>
          <w:caps w:val="0"/>
          <w:color w:val="000000"/>
          <w:spacing w:val="0"/>
          <w:sz w:val="32"/>
          <w:szCs w:val="32"/>
          <w:shd w:val="clear" w:fill="FFFFFF"/>
          <w:lang w:val="en-US" w:eastAsia="zh-CN"/>
        </w:rPr>
        <w:t>21</w:t>
      </w:r>
      <w:r>
        <w:rPr>
          <w:rFonts w:hint="eastAsia" w:ascii="仿宋" w:hAnsi="仿宋" w:eastAsia="仿宋" w:cs="仿宋"/>
          <w:i w:val="0"/>
          <w:caps w:val="0"/>
          <w:color w:val="000000"/>
          <w:spacing w:val="0"/>
          <w:sz w:val="32"/>
          <w:szCs w:val="32"/>
          <w:shd w:val="clear" w:fill="FFFFFF"/>
        </w:rPr>
        <w:t>级研究生：</w:t>
      </w:r>
    </w:p>
    <w:p>
      <w:pPr>
        <w:pStyle w:val="2"/>
        <w:pageBreakBefore w:val="0"/>
        <w:widowControl w:val="0"/>
        <w:kinsoku/>
        <w:wordWrap/>
        <w:overflowPunct/>
        <w:topLinePunct w:val="0"/>
        <w:autoSpaceDE/>
        <w:autoSpaceDN/>
        <w:bidi w:val="0"/>
        <w:adjustRightInd/>
        <w:snapToGrid/>
        <w:spacing w:before="360" w:after="240" w:line="360" w:lineRule="auto"/>
        <w:ind w:left="0" w:leftChars="0" w:right="0" w:rightChars="0" w:firstLine="640" w:firstLineChars="200"/>
        <w:jc w:val="both"/>
        <w:textAlignment w:val="auto"/>
        <w:rPr>
          <w:rFonts w:hint="eastAsia" w:ascii="仿宋" w:hAnsi="仿宋" w:eastAsia="仿宋" w:cs="仿宋"/>
          <w:bCs w:val="0"/>
          <w:i w:val="0"/>
          <w:caps w:val="0"/>
          <w:color w:val="000000"/>
          <w:spacing w:val="0"/>
          <w:kern w:val="0"/>
          <w:sz w:val="32"/>
          <w:szCs w:val="32"/>
          <w:shd w:val="clear" w:fill="FFFFFF"/>
          <w:lang w:val="en-US" w:eastAsia="zh-CN" w:bidi="ar"/>
        </w:rPr>
      </w:pPr>
      <w:r>
        <w:rPr>
          <w:rFonts w:hint="eastAsia" w:ascii="仿宋" w:hAnsi="仿宋" w:eastAsia="仿宋" w:cs="仿宋"/>
          <w:bCs w:val="0"/>
          <w:i w:val="0"/>
          <w:caps w:val="0"/>
          <w:color w:val="000000"/>
          <w:spacing w:val="0"/>
          <w:kern w:val="0"/>
          <w:sz w:val="32"/>
          <w:szCs w:val="32"/>
          <w:shd w:val="clear" w:fill="FFFFFF"/>
          <w:lang w:val="en-US" w:eastAsia="zh-CN" w:bidi="ar"/>
        </w:rPr>
        <w:t>根据</w:t>
      </w:r>
      <w:bookmarkStart w:id="0" w:name="_Toc501471357"/>
      <w:r>
        <w:rPr>
          <w:rFonts w:hint="eastAsia" w:ascii="仿宋" w:hAnsi="仿宋" w:eastAsia="仿宋" w:cs="仿宋"/>
          <w:bCs w:val="0"/>
          <w:i w:val="0"/>
          <w:caps w:val="0"/>
          <w:color w:val="000000"/>
          <w:spacing w:val="0"/>
          <w:kern w:val="0"/>
          <w:sz w:val="32"/>
          <w:szCs w:val="32"/>
          <w:shd w:val="clear" w:fill="FFFFFF"/>
          <w:lang w:val="en-US" w:eastAsia="zh-CN" w:bidi="ar"/>
        </w:rPr>
        <w:t>《西北农林科技大学研究生学位论文开题论证管理规定</w:t>
      </w:r>
      <w:bookmarkEnd w:id="0"/>
      <w:r>
        <w:rPr>
          <w:rFonts w:hint="eastAsia" w:ascii="仿宋" w:hAnsi="仿宋" w:eastAsia="仿宋" w:cs="仿宋"/>
          <w:bCs w:val="0"/>
          <w:i w:val="0"/>
          <w:caps w:val="0"/>
          <w:color w:val="000000"/>
          <w:spacing w:val="0"/>
          <w:kern w:val="0"/>
          <w:sz w:val="32"/>
          <w:szCs w:val="32"/>
          <w:shd w:val="clear" w:fill="FFFFFF"/>
          <w:lang w:val="en-US" w:eastAsia="zh-CN" w:bidi="ar"/>
        </w:rPr>
        <w:t>》和学院研究生培养方案要求，结合学院实际，现将学院2021级研究生学位论文开题论证工作做如下安排：</w:t>
      </w:r>
    </w:p>
    <w:p>
      <w:pPr>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一、开题论证时间</w:t>
      </w:r>
    </w:p>
    <w:p>
      <w:pPr>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学院2021级研究生学位论文开题论证工作定于2022年11月21日至12月4日之间进行，请各专业</w:t>
      </w:r>
      <w:r>
        <w:rPr>
          <w:rFonts w:hint="eastAsia" w:ascii="仿宋" w:hAnsi="仿宋" w:eastAsia="仿宋" w:cs="仿宋"/>
          <w:i w:val="0"/>
          <w:caps w:val="0"/>
          <w:color w:val="000000"/>
          <w:spacing w:val="0"/>
          <w:sz w:val="32"/>
          <w:szCs w:val="32"/>
          <w:shd w:val="clear" w:fill="FFFFFF"/>
        </w:rPr>
        <w:t>根据学生开题报告撰写情况自行确定开题论证时间，并组织好开题论证工作</w:t>
      </w:r>
      <w:r>
        <w:rPr>
          <w:rFonts w:hint="eastAsia" w:ascii="仿宋" w:hAnsi="仿宋" w:eastAsia="仿宋" w:cs="仿宋"/>
          <w:i w:val="0"/>
          <w:caps w:val="0"/>
          <w:color w:val="000000"/>
          <w:spacing w:val="0"/>
          <w:sz w:val="32"/>
          <w:szCs w:val="32"/>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二、开题工作要求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1.研究生应在导师的指导下认真撰写开题报告，开题报告的格式和内容应符合学校《西北农林科技大学研究生学位论文开题论证管理规定》的要求。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研究生在本专业开题论证3天前，登陆“研究生管理系统”提交开题申请并经过导师审核通过后，方可参加学位论文开题论证。研究生应在开题论证前按照开题论证小组成员人数向开题小组秘书提交开题报告纸质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3.各专业在11月21日前自行确定本专业具体开题时间、成立符合要求的开题论证小组，</w:t>
      </w:r>
      <w:r>
        <w:rPr>
          <w:rFonts w:hint="default" w:ascii="仿宋" w:hAnsi="仿宋" w:eastAsia="仿宋" w:cs="仿宋"/>
          <w:i w:val="0"/>
          <w:caps w:val="0"/>
          <w:color w:val="000000"/>
          <w:spacing w:val="0"/>
          <w:sz w:val="32"/>
          <w:szCs w:val="32"/>
          <w:shd w:val="clear" w:fill="FFFFFF"/>
          <w:lang w:val="en-US" w:eastAsia="zh-CN"/>
        </w:rPr>
        <w:t>小组成员应为研究生导师或高级职称人员</w:t>
      </w:r>
      <w:r>
        <w:rPr>
          <w:rFonts w:hint="eastAsia" w:ascii="仿宋" w:hAnsi="仿宋" w:eastAsia="仿宋" w:cs="仿宋"/>
          <w:i w:val="0"/>
          <w:caps w:val="0"/>
          <w:color w:val="000000"/>
          <w:spacing w:val="0"/>
          <w:sz w:val="32"/>
          <w:szCs w:val="32"/>
          <w:shd w:val="clear" w:fill="FFFFFF"/>
          <w:lang w:val="en-US" w:eastAsia="zh-CN"/>
        </w:rPr>
        <w:t>，并确定好开题论证小组成员及秘书名单、开题时间、地点，并将相关信息提供给学院研究生秘书，研究生秘书进行开题系统设置。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4.开题论证小组应按照学校规定的流程完成本专业研究生的开题论证工作并做出决议。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三、开题小组秘书职责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1.开题前3天通过“研究生管理系统”发布开题公告。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2.在开题过程中做好记录，填写“西北农林科技大学研究生学位论文开题论证记录表”（附件2）。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3.在开题结束后的3个工作日内登陆“研究生管理系统”，将开题记录和开题结果录入系统，并将经开题论证小组组长签名的纸质版附件2“开题论证记录表”交学院综合办公室存档。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四、开题结果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1.开题论证通过后，研究生应根据开题论证小组意见和建议修改开题报告，在7个工作日内登陆“研究生管理系统”，上传修改后的开题报告，并将纸质版开题报告交学院综合办公室存档，开题报告封面见附件1。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_GB2312" w:eastAsia="仿宋_GB2312" w:hAnsiTheme="majorEastAsia"/>
          <w:sz w:val="32"/>
          <w:szCs w:val="32"/>
        </w:rPr>
      </w:pPr>
      <w:r>
        <w:rPr>
          <w:rFonts w:hint="eastAsia" w:ascii="仿宋" w:hAnsi="仿宋" w:eastAsia="仿宋" w:cs="仿宋"/>
          <w:i w:val="0"/>
          <w:caps w:val="0"/>
          <w:color w:val="000000"/>
          <w:spacing w:val="0"/>
          <w:sz w:val="32"/>
          <w:szCs w:val="32"/>
          <w:shd w:val="clear" w:fill="FFFFFF"/>
          <w:lang w:val="en-US" w:eastAsia="zh-CN"/>
        </w:rPr>
        <w:t>2.开题论证未通过者，应根据开题论证小组意见全面修改开题报告，3个月后通过</w:t>
      </w:r>
      <w:r>
        <w:rPr>
          <w:rFonts w:hint="eastAsia" w:ascii="仿宋_GB2312" w:eastAsia="仿宋_GB2312" w:hAnsiTheme="majorEastAsia"/>
          <w:sz w:val="32"/>
          <w:szCs w:val="32"/>
        </w:rPr>
        <w:t>“系统”重新申请开题。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_GB2312" w:eastAsia="仿宋_GB2312" w:hAnsiTheme="majorEastAsi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right"/>
        <w:textAlignment w:val="auto"/>
        <w:outlineLvl w:val="9"/>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马克思主义学院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righ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_GB2312" w:eastAsia="仿宋_GB2312" w:hAnsiTheme="majorEastAsia"/>
          <w:sz w:val="32"/>
          <w:szCs w:val="32"/>
          <w:lang w:val="en-US" w:eastAsia="zh-CN"/>
        </w:rPr>
        <w:t>2022年11月14日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14D2"/>
    <w:rsid w:val="02536334"/>
    <w:rsid w:val="02A64FF9"/>
    <w:rsid w:val="02F42550"/>
    <w:rsid w:val="04B07393"/>
    <w:rsid w:val="04CA670E"/>
    <w:rsid w:val="05112ACA"/>
    <w:rsid w:val="05655CA8"/>
    <w:rsid w:val="067B302C"/>
    <w:rsid w:val="07A549A2"/>
    <w:rsid w:val="082D3CA6"/>
    <w:rsid w:val="08CD4E5D"/>
    <w:rsid w:val="08F37CFD"/>
    <w:rsid w:val="09A366C4"/>
    <w:rsid w:val="09C414D7"/>
    <w:rsid w:val="09E77C20"/>
    <w:rsid w:val="0A32473F"/>
    <w:rsid w:val="0A3872C5"/>
    <w:rsid w:val="0A4402E0"/>
    <w:rsid w:val="0A7808D4"/>
    <w:rsid w:val="0AF9566E"/>
    <w:rsid w:val="0B621059"/>
    <w:rsid w:val="0C0757B4"/>
    <w:rsid w:val="0C76428D"/>
    <w:rsid w:val="10E6660C"/>
    <w:rsid w:val="11074A82"/>
    <w:rsid w:val="111B553C"/>
    <w:rsid w:val="114E4A28"/>
    <w:rsid w:val="12A17563"/>
    <w:rsid w:val="12DD60B0"/>
    <w:rsid w:val="13A623EC"/>
    <w:rsid w:val="14144D8A"/>
    <w:rsid w:val="14303363"/>
    <w:rsid w:val="152D2A5D"/>
    <w:rsid w:val="167C3AA4"/>
    <w:rsid w:val="16EA2BD4"/>
    <w:rsid w:val="16FD258C"/>
    <w:rsid w:val="18DC35E5"/>
    <w:rsid w:val="19084DC1"/>
    <w:rsid w:val="19644AEB"/>
    <w:rsid w:val="1A9A6565"/>
    <w:rsid w:val="1B6A2614"/>
    <w:rsid w:val="1B88110C"/>
    <w:rsid w:val="1B9428EA"/>
    <w:rsid w:val="1BB12614"/>
    <w:rsid w:val="1CC23069"/>
    <w:rsid w:val="1CEF0C56"/>
    <w:rsid w:val="1DE96A87"/>
    <w:rsid w:val="1E4C5E39"/>
    <w:rsid w:val="206D7C6C"/>
    <w:rsid w:val="20EA5211"/>
    <w:rsid w:val="212A1E3D"/>
    <w:rsid w:val="22310EFC"/>
    <w:rsid w:val="22C725EA"/>
    <w:rsid w:val="23A3079C"/>
    <w:rsid w:val="257D3521"/>
    <w:rsid w:val="260A73C7"/>
    <w:rsid w:val="26CE528D"/>
    <w:rsid w:val="277921E4"/>
    <w:rsid w:val="278E2214"/>
    <w:rsid w:val="28185695"/>
    <w:rsid w:val="28811AF7"/>
    <w:rsid w:val="28F32B95"/>
    <w:rsid w:val="2B812C81"/>
    <w:rsid w:val="2BDC16F4"/>
    <w:rsid w:val="2BEC244D"/>
    <w:rsid w:val="2C326212"/>
    <w:rsid w:val="2CC96AD8"/>
    <w:rsid w:val="2D6C6C5C"/>
    <w:rsid w:val="2D8C2768"/>
    <w:rsid w:val="2DD2357F"/>
    <w:rsid w:val="2FC01961"/>
    <w:rsid w:val="306347AC"/>
    <w:rsid w:val="31F061EF"/>
    <w:rsid w:val="32692CDD"/>
    <w:rsid w:val="32C85C2A"/>
    <w:rsid w:val="346F6814"/>
    <w:rsid w:val="36164E30"/>
    <w:rsid w:val="36777530"/>
    <w:rsid w:val="37490E17"/>
    <w:rsid w:val="37F20FBA"/>
    <w:rsid w:val="381C132E"/>
    <w:rsid w:val="384E2A38"/>
    <w:rsid w:val="38E11494"/>
    <w:rsid w:val="38EE1A08"/>
    <w:rsid w:val="39AD1456"/>
    <w:rsid w:val="3A1D3B39"/>
    <w:rsid w:val="3AC32166"/>
    <w:rsid w:val="3B1B6C12"/>
    <w:rsid w:val="3BAE4733"/>
    <w:rsid w:val="3BBC750B"/>
    <w:rsid w:val="3BC54643"/>
    <w:rsid w:val="3C2521D3"/>
    <w:rsid w:val="3C7D35DA"/>
    <w:rsid w:val="3C8963DE"/>
    <w:rsid w:val="3D890829"/>
    <w:rsid w:val="3EDB7CE7"/>
    <w:rsid w:val="415C0C89"/>
    <w:rsid w:val="42905B57"/>
    <w:rsid w:val="433548BD"/>
    <w:rsid w:val="446E519A"/>
    <w:rsid w:val="46657791"/>
    <w:rsid w:val="46992799"/>
    <w:rsid w:val="476D523D"/>
    <w:rsid w:val="483A2E81"/>
    <w:rsid w:val="48D459D8"/>
    <w:rsid w:val="4A8871EB"/>
    <w:rsid w:val="4DEE57ED"/>
    <w:rsid w:val="4EAE0732"/>
    <w:rsid w:val="4F172C57"/>
    <w:rsid w:val="4F4008BE"/>
    <w:rsid w:val="4FBD3FE2"/>
    <w:rsid w:val="4FEB6AD8"/>
    <w:rsid w:val="4FF72F03"/>
    <w:rsid w:val="500C6B0C"/>
    <w:rsid w:val="53885930"/>
    <w:rsid w:val="53943339"/>
    <w:rsid w:val="53DC4821"/>
    <w:rsid w:val="53E649A2"/>
    <w:rsid w:val="53EE5343"/>
    <w:rsid w:val="54042CCD"/>
    <w:rsid w:val="55CC6688"/>
    <w:rsid w:val="55F51D74"/>
    <w:rsid w:val="56D02F26"/>
    <w:rsid w:val="57E06065"/>
    <w:rsid w:val="59225C4A"/>
    <w:rsid w:val="5B6527B2"/>
    <w:rsid w:val="5BCB2839"/>
    <w:rsid w:val="5BCE4271"/>
    <w:rsid w:val="5C1027B3"/>
    <w:rsid w:val="5C213FB6"/>
    <w:rsid w:val="5C276F2C"/>
    <w:rsid w:val="5CD04B81"/>
    <w:rsid w:val="5DD472D6"/>
    <w:rsid w:val="5E5E2E32"/>
    <w:rsid w:val="5F6B1F00"/>
    <w:rsid w:val="60652112"/>
    <w:rsid w:val="614E232A"/>
    <w:rsid w:val="61935EDC"/>
    <w:rsid w:val="63E212BD"/>
    <w:rsid w:val="63ED778F"/>
    <w:rsid w:val="654A70EF"/>
    <w:rsid w:val="655F12F1"/>
    <w:rsid w:val="65B27BE5"/>
    <w:rsid w:val="670F3BBA"/>
    <w:rsid w:val="671514E8"/>
    <w:rsid w:val="68092A8E"/>
    <w:rsid w:val="6A0F659A"/>
    <w:rsid w:val="6AB27512"/>
    <w:rsid w:val="6B715B7C"/>
    <w:rsid w:val="6B872703"/>
    <w:rsid w:val="6C497F49"/>
    <w:rsid w:val="6C5C3D52"/>
    <w:rsid w:val="6C6A1A35"/>
    <w:rsid w:val="6CC779B5"/>
    <w:rsid w:val="6E084B31"/>
    <w:rsid w:val="6EBF68AA"/>
    <w:rsid w:val="6EED560C"/>
    <w:rsid w:val="6F441AB5"/>
    <w:rsid w:val="70773493"/>
    <w:rsid w:val="70B501D2"/>
    <w:rsid w:val="70D52037"/>
    <w:rsid w:val="731847C3"/>
    <w:rsid w:val="73752F8C"/>
    <w:rsid w:val="73CB7B98"/>
    <w:rsid w:val="73D80420"/>
    <w:rsid w:val="74A11C03"/>
    <w:rsid w:val="75616AF2"/>
    <w:rsid w:val="75DE1647"/>
    <w:rsid w:val="763B6EDA"/>
    <w:rsid w:val="766F3D8A"/>
    <w:rsid w:val="76BB2480"/>
    <w:rsid w:val="773407F6"/>
    <w:rsid w:val="77E23277"/>
    <w:rsid w:val="786D701F"/>
    <w:rsid w:val="78F4386C"/>
    <w:rsid w:val="7B60586A"/>
    <w:rsid w:val="7C75137C"/>
    <w:rsid w:val="7E366DF6"/>
    <w:rsid w:val="7E7E5AC5"/>
    <w:rsid w:val="7EA677D9"/>
    <w:rsid w:val="7EEC171E"/>
    <w:rsid w:val="7F9010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150" w:afterLines="100" w:line="600" w:lineRule="exact"/>
      <w:jc w:val="center"/>
      <w:outlineLvl w:val="0"/>
    </w:pPr>
    <w:rPr>
      <w:rFonts w:eastAsia="方正小标宋简体"/>
      <w:bCs/>
      <w:kern w:val="0"/>
      <w:sz w:val="44"/>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2022-11-14T01:27:02Z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