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firstLine="200"/>
        <w:jc w:val="center"/>
        <w:rPr>
          <w:rFonts w:eastAsia="黑体"/>
          <w:sz w:val="32"/>
          <w:szCs w:val="32"/>
        </w:rPr>
      </w:pPr>
    </w:p>
    <w:p>
      <w:pPr>
        <w:adjustRightInd w:val="0"/>
        <w:snapToGrid w:val="0"/>
        <w:spacing w:line="360" w:lineRule="auto"/>
        <w:ind w:firstLine="200"/>
        <w:jc w:val="center"/>
        <w:rPr>
          <w:rFonts w:eastAsia="黑体"/>
          <w:szCs w:val="21"/>
        </w:rPr>
      </w:pPr>
    </w:p>
    <w:p>
      <w:pPr>
        <w:adjustRightInd w:val="0"/>
        <w:snapToGrid w:val="0"/>
        <w:spacing w:line="360" w:lineRule="auto"/>
        <w:ind w:firstLine="200"/>
        <w:jc w:val="center"/>
        <w:rPr>
          <w:rFonts w:eastAsia="黑体"/>
          <w:szCs w:val="21"/>
        </w:rPr>
      </w:pPr>
    </w:p>
    <w:p>
      <w:pPr>
        <w:adjustRightInd w:val="0"/>
        <w:snapToGrid w:val="0"/>
        <w:ind w:firstLine="198"/>
        <w:jc w:val="center"/>
        <w:rPr>
          <w:rFonts w:eastAsia="黑体"/>
          <w:sz w:val="52"/>
          <w:szCs w:val="52"/>
        </w:rPr>
      </w:pPr>
      <w:r>
        <w:rPr>
          <w:rFonts w:hint="eastAsia" w:hAnsi="黑体" w:eastAsia="黑体"/>
          <w:sz w:val="52"/>
          <w:szCs w:val="52"/>
        </w:rPr>
        <w:t>中央农办</w:t>
      </w:r>
      <w:r>
        <w:rPr>
          <w:rFonts w:hint="eastAsia" w:eastAsia="黑体"/>
          <w:sz w:val="52"/>
          <w:szCs w:val="52"/>
        </w:rPr>
        <w:t xml:space="preserve"> </w:t>
      </w:r>
      <w:r>
        <w:rPr>
          <w:rFonts w:hint="eastAsia" w:hAnsi="黑体" w:eastAsia="黑体"/>
          <w:sz w:val="52"/>
          <w:szCs w:val="52"/>
        </w:rPr>
        <w:t>农业农村部</w:t>
      </w:r>
    </w:p>
    <w:p>
      <w:pPr>
        <w:adjustRightInd w:val="0"/>
        <w:snapToGrid w:val="0"/>
        <w:ind w:firstLine="198"/>
        <w:jc w:val="center"/>
        <w:rPr>
          <w:rFonts w:eastAsia="黑体"/>
          <w:sz w:val="52"/>
          <w:szCs w:val="52"/>
        </w:rPr>
      </w:pPr>
      <w:r>
        <w:rPr>
          <w:rFonts w:hint="eastAsia" w:hAnsi="黑体" w:eastAsia="黑体"/>
          <w:sz w:val="52"/>
          <w:szCs w:val="52"/>
        </w:rPr>
        <w:t>乡村振兴专家咨询委员会</w:t>
      </w:r>
    </w:p>
    <w:p>
      <w:pPr>
        <w:adjustRightInd w:val="0"/>
        <w:snapToGrid w:val="0"/>
        <w:ind w:firstLine="198"/>
        <w:jc w:val="center"/>
        <w:rPr>
          <w:rFonts w:eastAsia="黑体"/>
          <w:w w:val="80"/>
          <w:sz w:val="48"/>
          <w:szCs w:val="48"/>
        </w:rPr>
      </w:pPr>
    </w:p>
    <w:p>
      <w:pPr>
        <w:adjustRightInd w:val="0"/>
        <w:snapToGrid w:val="0"/>
        <w:spacing w:line="360" w:lineRule="auto"/>
        <w:ind w:firstLine="200"/>
        <w:jc w:val="center"/>
        <w:rPr>
          <w:b/>
          <w:sz w:val="84"/>
          <w:szCs w:val="84"/>
        </w:rPr>
      </w:pPr>
      <w:r>
        <w:rPr>
          <w:rFonts w:hint="eastAsia"/>
          <w:b/>
          <w:sz w:val="84"/>
          <w:szCs w:val="84"/>
        </w:rPr>
        <w:t>软科学</w:t>
      </w:r>
      <w:r>
        <w:rPr>
          <w:b/>
          <w:sz w:val="84"/>
          <w:szCs w:val="84"/>
        </w:rPr>
        <w:t>课题</w:t>
      </w:r>
      <w:r>
        <w:rPr>
          <w:rFonts w:hint="eastAsia"/>
          <w:b/>
          <w:sz w:val="84"/>
          <w:szCs w:val="84"/>
        </w:rPr>
        <w:t>研究目录</w:t>
      </w:r>
    </w:p>
    <w:p>
      <w:pPr>
        <w:adjustRightInd w:val="0"/>
        <w:snapToGrid w:val="0"/>
        <w:spacing w:line="360" w:lineRule="auto"/>
        <w:ind w:firstLine="200"/>
        <w:jc w:val="center"/>
        <w:rPr>
          <w:b/>
          <w:sz w:val="44"/>
        </w:rPr>
      </w:pPr>
      <w:r>
        <w:rPr>
          <w:b/>
          <w:sz w:val="44"/>
        </w:rPr>
        <w:t>（</w:t>
      </w:r>
      <w:r>
        <w:rPr>
          <w:b/>
          <w:sz w:val="48"/>
        </w:rPr>
        <w:t>202</w:t>
      </w:r>
      <w:r>
        <w:rPr>
          <w:rFonts w:hint="eastAsia"/>
          <w:b/>
          <w:sz w:val="48"/>
          <w:lang w:val="en-US" w:eastAsia="zh-CN"/>
        </w:rPr>
        <w:t>3</w:t>
      </w:r>
      <w:r>
        <w:rPr>
          <w:b/>
          <w:sz w:val="44"/>
        </w:rPr>
        <w:t>年度）</w:t>
      </w:r>
    </w:p>
    <w:p>
      <w:pPr>
        <w:adjustRightInd w:val="0"/>
        <w:snapToGrid w:val="0"/>
        <w:spacing w:line="360" w:lineRule="auto"/>
        <w:ind w:firstLine="200"/>
        <w:jc w:val="center"/>
        <w:rPr>
          <w:rFonts w:eastAsia="黑体"/>
          <w:sz w:val="28"/>
        </w:rPr>
      </w:pPr>
    </w:p>
    <w:p>
      <w:pPr>
        <w:adjustRightInd w:val="0"/>
        <w:snapToGrid w:val="0"/>
        <w:spacing w:line="360" w:lineRule="auto"/>
        <w:ind w:firstLine="200"/>
        <w:rPr>
          <w:rFonts w:eastAsia="黑体"/>
          <w:sz w:val="28"/>
        </w:rPr>
      </w:pPr>
    </w:p>
    <w:p>
      <w:pPr>
        <w:adjustRightInd w:val="0"/>
        <w:snapToGrid w:val="0"/>
        <w:spacing w:line="360" w:lineRule="auto"/>
        <w:ind w:firstLine="200"/>
        <w:rPr>
          <w:rFonts w:eastAsia="黑体"/>
          <w:sz w:val="28"/>
        </w:rPr>
      </w:pPr>
    </w:p>
    <w:p>
      <w:pPr>
        <w:adjustRightInd w:val="0"/>
        <w:snapToGrid w:val="0"/>
        <w:spacing w:line="360" w:lineRule="auto"/>
        <w:ind w:firstLine="200"/>
        <w:rPr>
          <w:rFonts w:eastAsia="黑体"/>
          <w:sz w:val="28"/>
        </w:rPr>
      </w:pPr>
    </w:p>
    <w:p>
      <w:pPr>
        <w:adjustRightInd w:val="0"/>
        <w:snapToGrid w:val="0"/>
        <w:spacing w:line="360" w:lineRule="auto"/>
        <w:ind w:firstLine="200"/>
        <w:rPr>
          <w:rFonts w:eastAsia="黑体"/>
          <w:sz w:val="28"/>
        </w:rPr>
      </w:pPr>
    </w:p>
    <w:p>
      <w:pPr>
        <w:adjustRightInd w:val="0"/>
        <w:snapToGrid w:val="0"/>
        <w:spacing w:line="360" w:lineRule="auto"/>
        <w:ind w:firstLine="200"/>
        <w:rPr>
          <w:rFonts w:eastAsia="黑体"/>
          <w:sz w:val="28"/>
        </w:rPr>
      </w:pPr>
    </w:p>
    <w:p>
      <w:pPr>
        <w:adjustRightInd w:val="0"/>
        <w:snapToGrid w:val="0"/>
        <w:spacing w:line="360" w:lineRule="auto"/>
        <w:ind w:firstLine="200"/>
        <w:rPr>
          <w:rFonts w:eastAsia="黑体"/>
          <w:sz w:val="28"/>
        </w:rPr>
      </w:pPr>
    </w:p>
    <w:p>
      <w:pPr>
        <w:adjustRightInd w:val="0"/>
        <w:snapToGrid w:val="0"/>
        <w:spacing w:line="360" w:lineRule="auto"/>
        <w:ind w:firstLine="200"/>
        <w:rPr>
          <w:rFonts w:eastAsia="黑体"/>
          <w:sz w:val="28"/>
        </w:rPr>
      </w:pPr>
    </w:p>
    <w:p>
      <w:pPr>
        <w:adjustRightInd w:val="0"/>
        <w:snapToGrid w:val="0"/>
        <w:spacing w:line="360" w:lineRule="auto"/>
        <w:ind w:firstLine="200"/>
        <w:rPr>
          <w:rFonts w:eastAsia="黑体"/>
          <w:sz w:val="28"/>
        </w:rPr>
      </w:pPr>
    </w:p>
    <w:p>
      <w:pPr>
        <w:adjustRightInd w:val="0"/>
        <w:snapToGrid w:val="0"/>
        <w:spacing w:line="360" w:lineRule="auto"/>
        <w:ind w:firstLine="200"/>
        <w:rPr>
          <w:rFonts w:eastAsia="黑体"/>
          <w:sz w:val="28"/>
        </w:rPr>
      </w:pPr>
    </w:p>
    <w:p>
      <w:pPr>
        <w:adjustRightInd w:val="0"/>
        <w:snapToGrid w:val="0"/>
        <w:spacing w:line="360" w:lineRule="auto"/>
        <w:ind w:firstLine="200"/>
        <w:rPr>
          <w:rFonts w:eastAsia="黑体"/>
          <w:sz w:val="28"/>
        </w:rPr>
      </w:pPr>
    </w:p>
    <w:p>
      <w:pPr>
        <w:adjustRightInd w:val="0"/>
        <w:snapToGrid w:val="0"/>
        <w:spacing w:line="360" w:lineRule="auto"/>
        <w:ind w:firstLine="200"/>
        <w:rPr>
          <w:rFonts w:eastAsia="黑体"/>
          <w:sz w:val="28"/>
        </w:rPr>
      </w:pPr>
    </w:p>
    <w:p>
      <w:pPr>
        <w:adjustRightInd w:val="0"/>
        <w:snapToGrid w:val="0"/>
        <w:spacing w:line="360" w:lineRule="auto"/>
        <w:ind w:firstLine="200"/>
        <w:rPr>
          <w:rFonts w:eastAsia="黑体"/>
          <w:sz w:val="28"/>
        </w:rPr>
      </w:pPr>
    </w:p>
    <w:p>
      <w:pPr>
        <w:adjustRightInd w:val="0"/>
        <w:snapToGrid w:val="0"/>
        <w:spacing w:line="360" w:lineRule="auto"/>
        <w:ind w:firstLine="200"/>
        <w:jc w:val="center"/>
        <w:rPr>
          <w:rFonts w:eastAsia="黑体"/>
          <w:sz w:val="28"/>
        </w:rPr>
      </w:pPr>
      <w:r>
        <w:rPr>
          <w:sz w:val="48"/>
        </w:rPr>
        <w:t>20</w:t>
      </w:r>
      <w:r>
        <w:rPr>
          <w:rFonts w:hint="eastAsia"/>
          <w:sz w:val="48"/>
        </w:rPr>
        <w:t>2</w:t>
      </w:r>
      <w:r>
        <w:rPr>
          <w:rFonts w:hint="eastAsia"/>
          <w:sz w:val="48"/>
          <w:lang w:val="en-US" w:eastAsia="zh-CN"/>
        </w:rPr>
        <w:t>3</w:t>
      </w:r>
      <w:r>
        <w:rPr>
          <w:sz w:val="48"/>
        </w:rPr>
        <w:t>年2月</w:t>
      </w:r>
    </w:p>
    <w:p>
      <w:pPr>
        <w:adjustRightInd w:val="0"/>
        <w:snapToGrid w:val="0"/>
        <w:spacing w:line="600" w:lineRule="exact"/>
        <w:jc w:val="center"/>
        <w:rPr>
          <w:rFonts w:eastAsia="楷体_GB2312"/>
          <w:b/>
          <w:sz w:val="44"/>
          <w:szCs w:val="44"/>
        </w:rPr>
      </w:pPr>
    </w:p>
    <w:p>
      <w:pPr>
        <w:adjustRightInd w:val="0"/>
        <w:snapToGrid w:val="0"/>
        <w:spacing w:line="600" w:lineRule="exact"/>
        <w:jc w:val="center"/>
        <w:rPr>
          <w:rFonts w:eastAsia="楷体_GB2312"/>
          <w:b/>
          <w:sz w:val="44"/>
          <w:szCs w:val="44"/>
        </w:rPr>
      </w:pPr>
      <w:r>
        <w:rPr>
          <w:rFonts w:eastAsia="楷体_GB2312"/>
          <w:b/>
          <w:sz w:val="44"/>
          <w:szCs w:val="44"/>
        </w:rPr>
        <w:t>说</w:t>
      </w:r>
      <w:r>
        <w:rPr>
          <w:rFonts w:hint="eastAsia" w:eastAsia="楷体_GB2312"/>
          <w:b/>
          <w:sz w:val="44"/>
          <w:szCs w:val="44"/>
        </w:rPr>
        <w:t xml:space="preserve"> </w:t>
      </w:r>
      <w:r>
        <w:rPr>
          <w:rFonts w:eastAsia="楷体_GB2312"/>
          <w:b/>
          <w:sz w:val="44"/>
          <w:szCs w:val="44"/>
        </w:rPr>
        <w:t>明</w:t>
      </w:r>
    </w:p>
    <w:p>
      <w:pPr>
        <w:adjustRightInd w:val="0"/>
        <w:snapToGrid w:val="0"/>
        <w:spacing w:line="600" w:lineRule="exact"/>
        <w:ind w:firstLine="640" w:firstLineChars="200"/>
        <w:rPr>
          <w:rFonts w:eastAsia="仿宋_GB2312"/>
          <w:kern w:val="0"/>
          <w:sz w:val="32"/>
          <w:szCs w:val="32"/>
          <w:highlight w:val="none"/>
        </w:rPr>
      </w:pPr>
      <w:r>
        <w:rPr>
          <w:rFonts w:hint="eastAsia" w:eastAsia="仿宋_GB2312"/>
          <w:kern w:val="0"/>
          <w:sz w:val="32"/>
          <w:szCs w:val="32"/>
        </w:rPr>
        <w:t>一、《中央农办 农业农村部乡村振兴专家咨询委员会软科学课题研究目录（20</w:t>
      </w:r>
      <w:r>
        <w:rPr>
          <w:rFonts w:eastAsia="仿宋_GB2312"/>
          <w:kern w:val="0"/>
          <w:sz w:val="32"/>
          <w:szCs w:val="32"/>
        </w:rPr>
        <w:t>2</w:t>
      </w:r>
      <w:r>
        <w:rPr>
          <w:rFonts w:hint="eastAsia" w:eastAsia="仿宋_GB2312"/>
          <w:kern w:val="0"/>
          <w:sz w:val="32"/>
          <w:szCs w:val="32"/>
          <w:lang w:val="en-US" w:eastAsia="zh-CN"/>
        </w:rPr>
        <w:t>3</w:t>
      </w:r>
      <w:r>
        <w:rPr>
          <w:rFonts w:hint="eastAsia" w:eastAsia="仿宋_GB2312"/>
          <w:kern w:val="0"/>
          <w:sz w:val="32"/>
          <w:szCs w:val="32"/>
        </w:rPr>
        <w:t>年度）》以习近平新时代中国特色社会主义思想为指导，</w:t>
      </w:r>
      <w:r>
        <w:rPr>
          <w:rFonts w:hint="eastAsia" w:eastAsia="仿宋_GB2312"/>
          <w:kern w:val="0"/>
          <w:sz w:val="32"/>
          <w:szCs w:val="32"/>
          <w:highlight w:val="none"/>
        </w:rPr>
        <w:t>全面贯彻党的二十大精神，深入学习贯彻习近平总书记关于“三农”工作的重要论述，根据2022年中央经济工作会议和中央农村工作会议部署，围绕全面推进乡村振兴</w:t>
      </w:r>
      <w:r>
        <w:rPr>
          <w:rFonts w:hint="default" w:eastAsia="仿宋_GB2312"/>
          <w:kern w:val="0"/>
          <w:sz w:val="32"/>
          <w:szCs w:val="32"/>
          <w:highlight w:val="none"/>
        </w:rPr>
        <w:t>、加快建设农业强国</w:t>
      </w:r>
      <w:r>
        <w:rPr>
          <w:rFonts w:hint="eastAsia" w:eastAsia="仿宋_GB2312"/>
          <w:kern w:val="0"/>
          <w:sz w:val="32"/>
          <w:szCs w:val="32"/>
          <w:highlight w:val="none"/>
        </w:rPr>
        <w:t>重点工作，设置2023年度软科学研究课题。</w:t>
      </w:r>
    </w:p>
    <w:p>
      <w:pPr>
        <w:adjustRightInd w:val="0"/>
        <w:snapToGrid w:val="0"/>
        <w:spacing w:line="600" w:lineRule="exact"/>
        <w:ind w:firstLine="640" w:firstLineChars="200"/>
        <w:rPr>
          <w:rFonts w:eastAsia="仿宋_GB2312"/>
          <w:kern w:val="0"/>
          <w:sz w:val="32"/>
          <w:szCs w:val="32"/>
        </w:rPr>
      </w:pPr>
      <w:r>
        <w:rPr>
          <w:rFonts w:hint="eastAsia" w:eastAsia="仿宋_GB2312"/>
          <w:kern w:val="0"/>
          <w:sz w:val="32"/>
          <w:szCs w:val="32"/>
        </w:rPr>
        <w:t>二、课题研究的基本定位是政策性研究，要紧紧围绕</w:t>
      </w:r>
      <w:r>
        <w:rPr>
          <w:rFonts w:eastAsia="仿宋_GB2312"/>
          <w:kern w:val="0"/>
          <w:sz w:val="32"/>
          <w:szCs w:val="32"/>
        </w:rPr>
        <w:t>全面推进</w:t>
      </w:r>
      <w:r>
        <w:rPr>
          <w:rFonts w:hint="eastAsia" w:eastAsia="仿宋_GB2312"/>
          <w:kern w:val="0"/>
          <w:sz w:val="32"/>
          <w:szCs w:val="32"/>
        </w:rPr>
        <w:t>乡村振兴</w:t>
      </w:r>
      <w:r>
        <w:rPr>
          <w:rFonts w:hint="default" w:eastAsia="仿宋_GB2312"/>
          <w:kern w:val="0"/>
          <w:sz w:val="32"/>
          <w:szCs w:val="32"/>
        </w:rPr>
        <w:t>、加快建设农业强国开展研</w:t>
      </w:r>
      <w:r>
        <w:rPr>
          <w:rFonts w:hint="eastAsia" w:eastAsia="仿宋_GB2312"/>
          <w:kern w:val="0"/>
          <w:sz w:val="32"/>
          <w:szCs w:val="32"/>
        </w:rPr>
        <w:t>究，提出政策建议。课题研究既要突出战略性、前瞻性和创新性，又要注重政策措施的针对性和可操作性，坚持问题导向，强化实地调查、案例研究和统计分析，避免从概念到概念，避免面面俱到，力争将问题研究透彻，形成具有较高决策参考价值的研究成果。</w:t>
      </w:r>
    </w:p>
    <w:p>
      <w:pPr>
        <w:adjustRightInd w:val="0"/>
        <w:snapToGrid w:val="0"/>
        <w:spacing w:line="600" w:lineRule="exact"/>
        <w:ind w:firstLine="640" w:firstLineChars="200"/>
        <w:rPr>
          <w:rFonts w:eastAsia="仿宋_GB2312"/>
          <w:kern w:val="0"/>
          <w:sz w:val="32"/>
          <w:szCs w:val="32"/>
        </w:rPr>
      </w:pPr>
      <w:r>
        <w:rPr>
          <w:rFonts w:hint="eastAsia" w:eastAsia="仿宋_GB2312"/>
          <w:kern w:val="0"/>
          <w:sz w:val="32"/>
          <w:szCs w:val="32"/>
        </w:rPr>
        <w:t>三、研究课题设置为开放命题和规定命题两大类。开放命题请申请人按照研究目录给定的方向，自拟题目、自选角度进行申报；规定命题请申请人按照研究目录给定的题目进行申报。申请课题如果没有明确的研究对象和问题指向，则不予受理。</w:t>
      </w:r>
    </w:p>
    <w:p>
      <w:pPr>
        <w:adjustRightInd w:val="0"/>
        <w:snapToGrid w:val="0"/>
        <w:spacing w:line="600" w:lineRule="exact"/>
        <w:ind w:firstLine="640" w:firstLineChars="200"/>
        <w:rPr>
          <w:rFonts w:eastAsia="仿宋_GB2312"/>
          <w:kern w:val="0"/>
          <w:sz w:val="32"/>
          <w:szCs w:val="32"/>
        </w:rPr>
      </w:pPr>
      <w:r>
        <w:rPr>
          <w:rFonts w:hint="eastAsia" w:eastAsia="仿宋_GB2312"/>
          <w:kern w:val="0"/>
          <w:sz w:val="32"/>
          <w:szCs w:val="32"/>
        </w:rPr>
        <w:t>四、乡村振兴专家咨询委员会办公室组织专家对课题研究计划书进行评审后，确定承担课题研究任务的人选。初审采取匿名评审方式，从研究内容的必要性、创新性、研究方案可行性、预期成果与前景等方面进行评价；终审采取会议评审方式。</w:t>
      </w:r>
    </w:p>
    <w:p>
      <w:pPr>
        <w:adjustRightInd w:val="0"/>
        <w:snapToGrid w:val="0"/>
        <w:spacing w:line="600" w:lineRule="exact"/>
        <w:ind w:firstLine="640" w:firstLineChars="200"/>
        <w:rPr>
          <w:rFonts w:eastAsia="仿宋_GB2312"/>
          <w:kern w:val="0"/>
          <w:sz w:val="32"/>
          <w:szCs w:val="32"/>
        </w:rPr>
      </w:pPr>
      <w:r>
        <w:rPr>
          <w:rFonts w:hint="eastAsia" w:eastAsia="仿宋_GB2312"/>
          <w:kern w:val="0"/>
          <w:sz w:val="32"/>
          <w:szCs w:val="32"/>
        </w:rPr>
        <w:t>五、课题申请人应符合以下条件：各类教学或科研单位工作人员，具备副高级以上（含）专业技术职称（职务），或者具有大学本科以上学历、并有两名具有正高级专业技术职称（职务）的同行专家书面推荐；具备扎实的理论知识和实践经验，在申报课题研究领域有较好的工作基础，具有独立开展研究和组织开展研究的能力；具备按时完成课题研究的物质技术条件、手段和时间保证。</w:t>
      </w:r>
    </w:p>
    <w:p>
      <w:pPr>
        <w:adjustRightInd w:val="0"/>
        <w:snapToGrid w:val="0"/>
        <w:spacing w:line="600" w:lineRule="exact"/>
        <w:ind w:firstLine="640" w:firstLineChars="200"/>
        <w:rPr>
          <w:rFonts w:eastAsia="仿宋_GB2312"/>
          <w:kern w:val="0"/>
          <w:sz w:val="32"/>
          <w:szCs w:val="32"/>
        </w:rPr>
      </w:pPr>
      <w:r>
        <w:rPr>
          <w:rFonts w:hint="eastAsia" w:eastAsia="仿宋_GB2312"/>
          <w:kern w:val="0"/>
          <w:sz w:val="32"/>
          <w:szCs w:val="32"/>
        </w:rPr>
        <w:t>六、课题申请单位应符合以下条件：在相关领域具有较雄厚的学术资源和研究实力，能够提供开展研究的必要条件；对相关材料真实性进行审核；承担课题项目管理和经费管理职责并承诺信誉保证。</w:t>
      </w:r>
    </w:p>
    <w:p>
      <w:pPr>
        <w:spacing w:line="600" w:lineRule="exact"/>
        <w:ind w:firstLine="640" w:firstLineChars="200"/>
        <w:rPr>
          <w:rFonts w:eastAsia="仿宋_GB2312"/>
          <w:sz w:val="32"/>
          <w:szCs w:val="32"/>
        </w:rPr>
      </w:pPr>
      <w:r>
        <w:rPr>
          <w:rFonts w:hint="eastAsia" w:eastAsia="仿宋_GB2312"/>
          <w:kern w:val="0"/>
          <w:sz w:val="32"/>
          <w:szCs w:val="32"/>
        </w:rPr>
        <w:t>七、</w:t>
      </w:r>
      <w:r>
        <w:rPr>
          <w:rFonts w:hint="eastAsia" w:eastAsia="仿宋_GB2312"/>
          <w:sz w:val="32"/>
          <w:szCs w:val="32"/>
        </w:rPr>
        <w:t>软科学研究课题原则上为年度课题，根据研究任务安排研究经费</w:t>
      </w:r>
      <w:r>
        <w:rPr>
          <w:rFonts w:hint="eastAsia" w:eastAsia="仿宋_GB2312"/>
          <w:sz w:val="32"/>
          <w:szCs w:val="32"/>
          <w:highlight w:val="none"/>
        </w:rPr>
        <w:t>10</w:t>
      </w:r>
      <w:r>
        <w:rPr>
          <w:rFonts w:eastAsia="仿宋_GB2312"/>
          <w:sz w:val="32"/>
          <w:szCs w:val="32"/>
          <w:highlight w:val="none"/>
        </w:rPr>
        <w:t>-</w:t>
      </w:r>
      <w:r>
        <w:rPr>
          <w:rFonts w:hint="eastAsia" w:eastAsia="仿宋_GB2312"/>
          <w:sz w:val="32"/>
          <w:szCs w:val="32"/>
          <w:highlight w:val="none"/>
        </w:rPr>
        <w:t>2</w:t>
      </w:r>
      <w:r>
        <w:rPr>
          <w:rFonts w:eastAsia="仿宋_GB2312"/>
          <w:sz w:val="32"/>
          <w:szCs w:val="32"/>
          <w:highlight w:val="none"/>
        </w:rPr>
        <w:t>0</w:t>
      </w:r>
      <w:r>
        <w:rPr>
          <w:rFonts w:hint="eastAsia" w:eastAsia="仿宋_GB2312"/>
          <w:sz w:val="32"/>
          <w:szCs w:val="32"/>
        </w:rPr>
        <w:t>万元。课题经费应</w:t>
      </w:r>
      <w:r>
        <w:rPr>
          <w:rFonts w:eastAsia="仿宋_GB2312"/>
          <w:sz w:val="32"/>
          <w:szCs w:val="32"/>
        </w:rPr>
        <w:t>按照</w:t>
      </w:r>
      <w:r>
        <w:rPr>
          <w:rFonts w:hint="eastAsia" w:eastAsia="仿宋_GB2312"/>
          <w:sz w:val="32"/>
          <w:szCs w:val="32"/>
        </w:rPr>
        <w:t>相关</w:t>
      </w:r>
      <w:r>
        <w:rPr>
          <w:rFonts w:eastAsia="仿宋_GB2312"/>
          <w:sz w:val="32"/>
          <w:szCs w:val="32"/>
        </w:rPr>
        <w:t>财务制度</w:t>
      </w:r>
      <w:r>
        <w:rPr>
          <w:rFonts w:hint="eastAsia" w:eastAsia="仿宋_GB2312"/>
          <w:sz w:val="32"/>
          <w:szCs w:val="32"/>
        </w:rPr>
        <w:t>规定管理和</w:t>
      </w:r>
      <w:r>
        <w:rPr>
          <w:rFonts w:eastAsia="仿宋_GB2312"/>
          <w:sz w:val="32"/>
          <w:szCs w:val="32"/>
        </w:rPr>
        <w:t>使用</w:t>
      </w:r>
      <w:r>
        <w:rPr>
          <w:rFonts w:hint="eastAsia" w:eastAsia="仿宋_GB2312"/>
          <w:sz w:val="32"/>
          <w:szCs w:val="32"/>
        </w:rPr>
        <w:t>，属于政府购买服务的</w:t>
      </w:r>
      <w:r>
        <w:rPr>
          <w:rFonts w:eastAsia="仿宋_GB2312"/>
          <w:sz w:val="32"/>
          <w:szCs w:val="32"/>
        </w:rPr>
        <w:t>，按照政府购买服务管理有关规定</w:t>
      </w:r>
      <w:r>
        <w:rPr>
          <w:rFonts w:hint="eastAsia" w:eastAsia="仿宋_GB2312"/>
          <w:sz w:val="32"/>
          <w:szCs w:val="32"/>
        </w:rPr>
        <w:t>和要求支付。</w:t>
      </w:r>
    </w:p>
    <w:p>
      <w:pPr>
        <w:adjustRightInd w:val="0"/>
        <w:snapToGrid w:val="0"/>
        <w:spacing w:line="600" w:lineRule="exact"/>
        <w:ind w:firstLine="640" w:firstLineChars="200"/>
        <w:rPr>
          <w:rFonts w:eastAsia="仿宋_GB2312"/>
          <w:kern w:val="0"/>
          <w:sz w:val="32"/>
          <w:szCs w:val="32"/>
        </w:rPr>
      </w:pPr>
      <w:r>
        <w:rPr>
          <w:rFonts w:hint="eastAsia" w:eastAsia="仿宋_GB2312"/>
          <w:kern w:val="0"/>
          <w:sz w:val="32"/>
          <w:szCs w:val="32"/>
        </w:rPr>
        <w:t>八、根据服务决策的需求，对课题设置了不同研究时限，具体时限将在课题任务书中明确，年度课题原则上应于202</w:t>
      </w:r>
      <w:r>
        <w:rPr>
          <w:rFonts w:hint="eastAsia" w:eastAsia="仿宋_GB2312"/>
          <w:kern w:val="0"/>
          <w:sz w:val="32"/>
          <w:szCs w:val="32"/>
          <w:lang w:val="en-US" w:eastAsia="zh-CN"/>
        </w:rPr>
        <w:t>3</w:t>
      </w:r>
      <w:r>
        <w:rPr>
          <w:rFonts w:hint="eastAsia" w:eastAsia="仿宋_GB2312"/>
          <w:kern w:val="0"/>
          <w:sz w:val="32"/>
          <w:szCs w:val="32"/>
        </w:rPr>
        <w:t>年底前结题。课题主持人要严格按时限要求提交中期报告和最终研究成果，最终研究成果包括课题报告和3000字左右的决策参考报告。研究成果的著作权归中央农办、农业农村部乡村振兴专家咨询委员会所有，包括但不限于作品的发表权、署名权、修改权、复制权、发行权、信息网络传播权、汇编权和其他权利。乡村振兴专家咨询委员会办公室将定期调度研究进展，组织开展成果结题验收，调度成果采纳情况将作为评奖的重要依据，验收结论将作为主持人今后申请课题的重要参考。</w:t>
      </w:r>
    </w:p>
    <w:p>
      <w:pPr>
        <w:adjustRightInd w:val="0"/>
        <w:snapToGrid w:val="0"/>
        <w:spacing w:line="600" w:lineRule="exact"/>
        <w:ind w:firstLine="640" w:firstLineChars="200"/>
        <w:rPr>
          <w:rFonts w:eastAsia="仿宋_GB2312"/>
          <w:kern w:val="0"/>
          <w:sz w:val="32"/>
          <w:szCs w:val="32"/>
        </w:rPr>
      </w:pPr>
      <w:r>
        <w:rPr>
          <w:rFonts w:hint="eastAsia" w:eastAsia="仿宋_GB2312"/>
          <w:kern w:val="0"/>
          <w:sz w:val="32"/>
          <w:szCs w:val="32"/>
        </w:rPr>
        <w:t>九、为避免一题多报、交叉申请和重复立项，确保申请人有足够的时间和精力从事课题研究，</w:t>
      </w:r>
      <w:r>
        <w:rPr>
          <w:rFonts w:eastAsia="仿宋_GB2312"/>
          <w:kern w:val="0"/>
          <w:sz w:val="32"/>
          <w:szCs w:val="32"/>
        </w:rPr>
        <w:t>每个申请人只能申报1个题目。</w:t>
      </w:r>
      <w:r>
        <w:rPr>
          <w:rFonts w:hint="eastAsia" w:eastAsia="仿宋_GB2312"/>
          <w:kern w:val="0"/>
          <w:sz w:val="32"/>
          <w:szCs w:val="32"/>
        </w:rPr>
        <w:t>凡以在研或已结题的各级各类项目、博士学位论文或博士后出站报告等为基础申请软科学研究课题，须在课题申请书中注明所申请课题与已承担项目的联系和区别，且不得以内容基本相同的同一成果申请结题。申报课题须如实填写申请材料，并保证没有知识产权争议。凡存在弄虚作假、抄袭剽窃行为的，一经查实取消今后五年内申请乡村振兴软科学研究课题的资格。</w:t>
      </w:r>
    </w:p>
    <w:p>
      <w:pPr>
        <w:adjustRightInd w:val="0"/>
        <w:snapToGrid w:val="0"/>
        <w:spacing w:line="600" w:lineRule="exact"/>
        <w:ind w:firstLine="640" w:firstLineChars="200"/>
        <w:rPr>
          <w:rFonts w:eastAsia="仿宋_GB2312"/>
          <w:kern w:val="0"/>
          <w:sz w:val="32"/>
          <w:szCs w:val="32"/>
        </w:rPr>
      </w:pPr>
      <w:r>
        <w:rPr>
          <w:rFonts w:hint="eastAsia" w:eastAsia="仿宋_GB2312"/>
          <w:kern w:val="0"/>
          <w:sz w:val="32"/>
          <w:szCs w:val="32"/>
        </w:rPr>
        <w:t>十、乡村振兴专家咨询委员会办公室从发布课题研究目录之日起受理申请。申请者请直接从农业农村部网站下载课题研究目录和课题研究计划书，填写</w:t>
      </w:r>
      <w:r>
        <w:rPr>
          <w:rFonts w:hint="default" w:eastAsia="仿宋_GB2312"/>
          <w:kern w:val="0"/>
          <w:sz w:val="32"/>
          <w:szCs w:val="32"/>
        </w:rPr>
        <w:t>研究计划书</w:t>
      </w:r>
      <w:r>
        <w:rPr>
          <w:rFonts w:hint="eastAsia" w:eastAsia="仿宋_GB2312"/>
          <w:kern w:val="0"/>
          <w:sz w:val="32"/>
          <w:szCs w:val="32"/>
        </w:rPr>
        <w:t>并加盖公章后</w:t>
      </w:r>
      <w:r>
        <w:rPr>
          <w:rFonts w:hint="default" w:eastAsia="仿宋_GB2312"/>
          <w:kern w:val="0"/>
          <w:sz w:val="32"/>
          <w:szCs w:val="32"/>
        </w:rPr>
        <w:t>（Word版本</w:t>
      </w:r>
      <w:r>
        <w:rPr>
          <w:rFonts w:hint="eastAsia" w:eastAsia="仿宋_GB2312"/>
          <w:kern w:val="0"/>
          <w:sz w:val="32"/>
          <w:szCs w:val="32"/>
          <w:lang w:eastAsia="zh-CN"/>
        </w:rPr>
        <w:t>，签字盖章页扫描成图片后插入研究计划书中</w:t>
      </w:r>
      <w:bookmarkStart w:id="0" w:name="_GoBack"/>
      <w:bookmarkEnd w:id="0"/>
      <w:r>
        <w:rPr>
          <w:rFonts w:hint="default" w:eastAsia="仿宋_GB2312"/>
          <w:kern w:val="0"/>
          <w:sz w:val="32"/>
          <w:szCs w:val="32"/>
        </w:rPr>
        <w:t>）发送至电子邮箱</w:t>
      </w:r>
      <w:r>
        <w:rPr>
          <w:rFonts w:eastAsia="仿宋_GB2312"/>
          <w:kern w:val="0"/>
          <w:sz w:val="32"/>
          <w:szCs w:val="32"/>
        </w:rPr>
        <w:t>（</w:t>
      </w:r>
      <w:r>
        <w:rPr>
          <w:rFonts w:hint="eastAsia" w:eastAsia="仿宋_GB2312"/>
          <w:kern w:val="0"/>
          <w:sz w:val="32"/>
          <w:szCs w:val="32"/>
        </w:rPr>
        <w:t>xczx@agri.gov.cn</w:t>
      </w:r>
      <w:r>
        <w:rPr>
          <w:rFonts w:hint="default" w:eastAsia="仿宋_GB2312"/>
          <w:kern w:val="0"/>
          <w:sz w:val="32"/>
          <w:szCs w:val="32"/>
        </w:rPr>
        <w:t>），邮件主题及研究计划书的命名方式为</w:t>
      </w:r>
      <w:r>
        <w:rPr>
          <w:rFonts w:hint="eastAsia" w:ascii="仿宋_GB2312" w:hAnsi="仿宋_GB2312" w:eastAsia="仿宋_GB2312" w:cs="仿宋_GB2312"/>
          <w:kern w:val="0"/>
          <w:sz w:val="32"/>
          <w:szCs w:val="32"/>
        </w:rPr>
        <w:t>“</w:t>
      </w:r>
      <w:r>
        <w:rPr>
          <w:rFonts w:hint="default" w:eastAsia="仿宋_GB2312"/>
          <w:kern w:val="0"/>
          <w:sz w:val="32"/>
          <w:szCs w:val="32"/>
        </w:rPr>
        <w:t>课题编号-申请单位-申请人</w:t>
      </w:r>
      <w:r>
        <w:rPr>
          <w:rFonts w:hint="eastAsia" w:ascii="仿宋_GB2312" w:hAnsi="仿宋_GB2312" w:eastAsia="仿宋_GB2312" w:cs="仿宋_GB2312"/>
          <w:kern w:val="0"/>
          <w:sz w:val="32"/>
          <w:szCs w:val="32"/>
        </w:rPr>
        <w:t>”</w:t>
      </w:r>
      <w:r>
        <w:rPr>
          <w:rFonts w:hint="eastAsia" w:eastAsia="仿宋_GB2312"/>
          <w:kern w:val="0"/>
          <w:sz w:val="32"/>
          <w:szCs w:val="32"/>
        </w:rPr>
        <w:t>。</w:t>
      </w:r>
      <w:r>
        <w:rPr>
          <w:rFonts w:hint="default" w:eastAsia="仿宋_GB2312"/>
          <w:kern w:val="0"/>
          <w:sz w:val="32"/>
          <w:szCs w:val="32"/>
        </w:rPr>
        <w:t>同时，将</w:t>
      </w:r>
      <w:r>
        <w:rPr>
          <w:rFonts w:eastAsia="仿宋_GB2312"/>
          <w:kern w:val="0"/>
          <w:sz w:val="32"/>
          <w:szCs w:val="32"/>
        </w:rPr>
        <w:t>第二部分单独作为一个文档</w:t>
      </w:r>
      <w:r>
        <w:rPr>
          <w:rFonts w:hint="eastAsia" w:eastAsia="仿宋_GB2312"/>
          <w:kern w:val="0"/>
          <w:sz w:val="32"/>
          <w:szCs w:val="32"/>
        </w:rPr>
        <w:t>（</w:t>
      </w:r>
      <w:r>
        <w:rPr>
          <w:rFonts w:hint="default" w:eastAsia="仿宋_GB2312"/>
          <w:kern w:val="0"/>
          <w:sz w:val="32"/>
          <w:szCs w:val="32"/>
        </w:rPr>
        <w:t>W</w:t>
      </w:r>
      <w:r>
        <w:rPr>
          <w:rFonts w:eastAsia="仿宋_GB2312"/>
          <w:kern w:val="0"/>
          <w:sz w:val="32"/>
          <w:szCs w:val="32"/>
        </w:rPr>
        <w:t>ord</w:t>
      </w:r>
      <w:r>
        <w:rPr>
          <w:rFonts w:hint="eastAsia" w:eastAsia="仿宋_GB2312"/>
          <w:kern w:val="0"/>
          <w:sz w:val="32"/>
          <w:szCs w:val="32"/>
        </w:rPr>
        <w:t>版本）</w:t>
      </w:r>
      <w:r>
        <w:rPr>
          <w:rFonts w:eastAsia="仿宋_GB2312"/>
          <w:kern w:val="0"/>
          <w:sz w:val="32"/>
          <w:szCs w:val="32"/>
        </w:rPr>
        <w:t>随研究计划书一并报送。</w:t>
      </w:r>
      <w:r>
        <w:rPr>
          <w:rFonts w:hint="eastAsia" w:eastAsia="仿宋_GB2312"/>
          <w:kern w:val="0"/>
          <w:sz w:val="32"/>
          <w:szCs w:val="32"/>
        </w:rPr>
        <w:t>申请截止日期：202</w:t>
      </w:r>
      <w:r>
        <w:rPr>
          <w:rFonts w:hint="eastAsia" w:eastAsia="仿宋_GB2312"/>
          <w:kern w:val="0"/>
          <w:sz w:val="32"/>
          <w:szCs w:val="32"/>
          <w:lang w:val="en-US" w:eastAsia="zh-CN"/>
        </w:rPr>
        <w:t>3</w:t>
      </w:r>
      <w:r>
        <w:rPr>
          <w:rFonts w:hint="eastAsia" w:eastAsia="仿宋_GB2312"/>
          <w:kern w:val="0"/>
          <w:sz w:val="32"/>
          <w:szCs w:val="32"/>
        </w:rPr>
        <w:t>年</w:t>
      </w:r>
      <w:r>
        <w:rPr>
          <w:rFonts w:eastAsia="仿宋_GB2312"/>
          <w:kern w:val="0"/>
          <w:sz w:val="32"/>
          <w:szCs w:val="32"/>
        </w:rPr>
        <w:t>3</w:t>
      </w:r>
      <w:r>
        <w:rPr>
          <w:rFonts w:hint="eastAsia" w:eastAsia="仿宋_GB2312"/>
          <w:kern w:val="0"/>
          <w:sz w:val="32"/>
          <w:szCs w:val="32"/>
        </w:rPr>
        <w:t>月</w:t>
      </w:r>
      <w:r>
        <w:rPr>
          <w:rFonts w:hint="default" w:eastAsia="仿宋_GB2312"/>
          <w:kern w:val="0"/>
          <w:sz w:val="32"/>
          <w:szCs w:val="32"/>
          <w:highlight w:val="none"/>
        </w:rPr>
        <w:t>21</w:t>
      </w:r>
      <w:r>
        <w:rPr>
          <w:rFonts w:hint="eastAsia" w:eastAsia="仿宋_GB2312"/>
          <w:kern w:val="0"/>
          <w:sz w:val="32"/>
          <w:szCs w:val="32"/>
        </w:rPr>
        <w:t>日。</w:t>
      </w:r>
    </w:p>
    <w:p>
      <w:pPr>
        <w:adjustRightInd w:val="0"/>
        <w:snapToGrid w:val="0"/>
        <w:spacing w:line="600" w:lineRule="exact"/>
        <w:ind w:firstLine="640" w:firstLineChars="200"/>
        <w:rPr>
          <w:rFonts w:eastAsia="仿宋_GB2312"/>
          <w:kern w:val="0"/>
          <w:sz w:val="32"/>
          <w:szCs w:val="32"/>
        </w:rPr>
      </w:pPr>
      <w:r>
        <w:rPr>
          <w:rFonts w:hint="eastAsia" w:eastAsia="仿宋_GB2312"/>
          <w:kern w:val="0"/>
          <w:sz w:val="32"/>
          <w:szCs w:val="32"/>
        </w:rPr>
        <w:t>十一、乡村振兴软科学课题相关工作由中央农办、农业农村部乡村振兴专家咨询委员会组织开展，课题申报及受理信息均通过农业农村部官方网站（http://www.moa.gov.cn/）发布，且为唯一途径。未经中央农办、农业农村部乡村振兴专家咨询委员会授权，冒用乡村振兴专家咨询委员会、乡村振兴软科学研究等名义开展活动的机构和个人，将严肃追究其法律责任。</w:t>
      </w:r>
    </w:p>
    <w:p>
      <w:pPr>
        <w:adjustRightInd w:val="0"/>
        <w:snapToGrid w:val="0"/>
        <w:spacing w:line="600" w:lineRule="exact"/>
        <w:ind w:firstLine="640" w:firstLineChars="200"/>
        <w:jc w:val="left"/>
        <w:rPr>
          <w:rFonts w:hint="default" w:eastAsia="楷体_GB2312"/>
          <w:kern w:val="0"/>
          <w:sz w:val="32"/>
          <w:szCs w:val="32"/>
        </w:rPr>
      </w:pPr>
      <w:r>
        <w:rPr>
          <w:rFonts w:hint="eastAsia" w:ascii="楷体_GB2312" w:hAnsi="楷体_GB2312" w:eastAsia="楷体_GB2312" w:cs="楷体_GB2312"/>
          <w:kern w:val="0"/>
          <w:sz w:val="32"/>
          <w:szCs w:val="32"/>
        </w:rPr>
        <w:t>联系人：高道明（电话</w:t>
      </w:r>
      <w:r>
        <w:rPr>
          <w:rFonts w:hint="default" w:eastAsia="楷体_GB2312"/>
          <w:kern w:val="0"/>
          <w:sz w:val="32"/>
          <w:szCs w:val="32"/>
        </w:rPr>
        <w:t>010-59191219）</w:t>
      </w:r>
    </w:p>
    <w:p>
      <w:pPr>
        <w:adjustRightInd w:val="0"/>
        <w:snapToGrid w:val="0"/>
        <w:spacing w:line="600" w:lineRule="exact"/>
        <w:ind w:firstLine="640" w:firstLineChars="200"/>
        <w:jc w:val="left"/>
        <w:rPr>
          <w:rFonts w:hint="eastAsia" w:ascii="楷体_GB2312" w:hAnsi="楷体_GB2312" w:eastAsia="楷体_GB2312" w:cs="楷体_GB2312"/>
          <w:kern w:val="0"/>
          <w:sz w:val="32"/>
          <w:szCs w:val="32"/>
        </w:rPr>
      </w:pPr>
      <w:r>
        <w:rPr>
          <w:rFonts w:hint="default" w:eastAsia="楷体_GB2312"/>
          <w:kern w:val="0"/>
          <w:sz w:val="32"/>
          <w:szCs w:val="32"/>
        </w:rPr>
        <w:t xml:space="preserve">        李登旺（电话010-59191205）</w:t>
      </w:r>
      <w:r>
        <w:rPr>
          <w:rFonts w:hint="eastAsia" w:ascii="楷体_GB2312" w:hAnsi="楷体_GB2312" w:eastAsia="楷体_GB2312" w:cs="楷体_GB2312"/>
          <w:kern w:val="0"/>
          <w:sz w:val="32"/>
          <w:szCs w:val="32"/>
        </w:rPr>
        <w:t xml:space="preserve"> </w:t>
      </w:r>
    </w:p>
    <w:p>
      <w:pPr>
        <w:pBdr>
          <w:top w:val="none" w:color="auto" w:sz="0" w:space="1"/>
          <w:left w:val="none" w:color="auto" w:sz="0" w:space="4"/>
          <w:bottom w:val="none" w:color="auto" w:sz="0" w:space="1"/>
          <w:right w:val="none" w:color="auto" w:sz="0" w:space="4"/>
          <w:between w:val="none" w:color="auto" w:sz="0" w:space="0"/>
        </w:pBdr>
        <w:spacing w:line="600" w:lineRule="exact"/>
        <w:jc w:val="center"/>
        <w:rPr>
          <w:rFonts w:eastAsia="华文中宋"/>
          <w:b/>
          <w:sz w:val="44"/>
          <w:szCs w:val="44"/>
        </w:rPr>
      </w:pPr>
    </w:p>
    <w:p>
      <w:pPr>
        <w:pBdr>
          <w:top w:val="none" w:color="auto" w:sz="0" w:space="1"/>
          <w:left w:val="none" w:color="auto" w:sz="0" w:space="4"/>
          <w:bottom w:val="none" w:color="auto" w:sz="0" w:space="1"/>
          <w:right w:val="none" w:color="auto" w:sz="0" w:space="4"/>
          <w:between w:val="none" w:color="auto" w:sz="0" w:space="0"/>
        </w:pBdr>
        <w:spacing w:line="640" w:lineRule="exact"/>
        <w:jc w:val="center"/>
        <w:rPr>
          <w:rFonts w:eastAsia="华文中宋"/>
          <w:b/>
          <w:sz w:val="44"/>
          <w:szCs w:val="44"/>
        </w:rPr>
      </w:pPr>
      <w:r>
        <w:rPr>
          <w:rFonts w:hint="eastAsia" w:eastAsia="华文中宋"/>
          <w:b/>
          <w:w w:val="90"/>
          <w:sz w:val="44"/>
          <w:szCs w:val="44"/>
        </w:rPr>
        <w:t>中央农办</w:t>
      </w:r>
      <w:r>
        <w:rPr>
          <w:rFonts w:eastAsia="华文中宋"/>
          <w:b/>
          <w:w w:val="90"/>
          <w:sz w:val="44"/>
          <w:szCs w:val="44"/>
        </w:rPr>
        <w:t xml:space="preserve"> </w:t>
      </w:r>
      <w:r>
        <w:rPr>
          <w:rFonts w:hint="eastAsia" w:eastAsia="华文中宋"/>
          <w:b/>
          <w:w w:val="90"/>
          <w:sz w:val="44"/>
          <w:szCs w:val="44"/>
        </w:rPr>
        <w:t>农业农村部乡村振兴专家咨询委员会</w:t>
      </w:r>
    </w:p>
    <w:p>
      <w:pPr>
        <w:pBdr>
          <w:top w:val="none" w:color="auto" w:sz="0" w:space="1"/>
          <w:left w:val="none" w:color="auto" w:sz="0" w:space="4"/>
          <w:bottom w:val="none" w:color="auto" w:sz="0" w:space="1"/>
          <w:right w:val="none" w:color="auto" w:sz="0" w:space="4"/>
          <w:between w:val="none" w:color="auto" w:sz="0" w:space="0"/>
        </w:pBdr>
        <w:spacing w:line="640" w:lineRule="exact"/>
        <w:jc w:val="center"/>
        <w:rPr>
          <w:rFonts w:eastAsia="华文中宋"/>
          <w:b/>
          <w:sz w:val="44"/>
          <w:szCs w:val="44"/>
        </w:rPr>
      </w:pPr>
      <w:r>
        <w:rPr>
          <w:rFonts w:hint="eastAsia" w:hAnsi="华文中宋" w:eastAsia="华文中宋"/>
          <w:b/>
          <w:sz w:val="44"/>
          <w:szCs w:val="44"/>
        </w:rPr>
        <w:t>软科学课题研究目录</w:t>
      </w:r>
    </w:p>
    <w:p>
      <w:pPr>
        <w:pBdr>
          <w:top w:val="none" w:color="auto" w:sz="0" w:space="1"/>
          <w:left w:val="none" w:color="auto" w:sz="0" w:space="4"/>
          <w:bottom w:val="none" w:color="auto" w:sz="0" w:space="1"/>
          <w:right w:val="none" w:color="auto" w:sz="0" w:space="4"/>
          <w:between w:val="none" w:color="auto" w:sz="0" w:space="0"/>
        </w:pBdr>
        <w:spacing w:line="600" w:lineRule="exact"/>
        <w:jc w:val="center"/>
        <w:rPr>
          <w:rFonts w:eastAsia="楷体_GB2312"/>
          <w:b/>
          <w:sz w:val="36"/>
          <w:szCs w:val="36"/>
        </w:rPr>
      </w:pPr>
      <w:r>
        <w:rPr>
          <w:rFonts w:hint="eastAsia" w:eastAsia="楷体_GB2312"/>
          <w:b/>
          <w:sz w:val="36"/>
          <w:szCs w:val="36"/>
        </w:rPr>
        <w:t>（</w:t>
      </w:r>
      <w:r>
        <w:rPr>
          <w:rFonts w:eastAsia="楷体_GB2312"/>
          <w:b/>
          <w:sz w:val="36"/>
          <w:szCs w:val="36"/>
        </w:rPr>
        <w:t>202</w:t>
      </w:r>
      <w:r>
        <w:rPr>
          <w:rFonts w:hint="eastAsia" w:eastAsia="楷体_GB2312"/>
          <w:b/>
          <w:sz w:val="36"/>
          <w:szCs w:val="36"/>
          <w:lang w:val="en-US" w:eastAsia="zh-CN"/>
        </w:rPr>
        <w:t>3</w:t>
      </w:r>
      <w:r>
        <w:rPr>
          <w:rFonts w:hint="eastAsia" w:eastAsia="楷体_GB2312"/>
          <w:b/>
          <w:sz w:val="36"/>
          <w:szCs w:val="36"/>
        </w:rPr>
        <w:t>年度）</w:t>
      </w:r>
    </w:p>
    <w:p>
      <w:pPr>
        <w:pBdr>
          <w:top w:val="none" w:color="auto" w:sz="0" w:space="1"/>
          <w:left w:val="none" w:color="auto" w:sz="0" w:space="4"/>
          <w:bottom w:val="none" w:color="auto" w:sz="0" w:space="1"/>
          <w:right w:val="none" w:color="auto" w:sz="0" w:space="4"/>
          <w:between w:val="none" w:color="auto" w:sz="0" w:space="0"/>
        </w:pBdr>
        <w:spacing w:line="600" w:lineRule="exact"/>
        <w:jc w:val="center"/>
        <w:rPr>
          <w:rFonts w:eastAsia="仿宋_GB2312"/>
          <w:b/>
          <w:sz w:val="32"/>
          <w:szCs w:val="32"/>
        </w:rPr>
      </w:pPr>
    </w:p>
    <w:p>
      <w:pPr>
        <w:pBdr>
          <w:top w:val="none" w:color="auto" w:sz="0" w:space="1"/>
          <w:left w:val="none" w:color="auto" w:sz="0" w:space="4"/>
          <w:bottom w:val="none" w:color="auto" w:sz="0" w:space="1"/>
          <w:right w:val="none" w:color="auto" w:sz="0" w:space="4"/>
          <w:between w:val="none" w:color="auto" w:sz="0" w:space="0"/>
        </w:pBdr>
        <w:spacing w:line="600" w:lineRule="exact"/>
        <w:ind w:firstLine="640" w:firstLineChars="200"/>
        <w:rPr>
          <w:rFonts w:ascii="Times New Roman" w:hAnsi="Times New Roman" w:eastAsia="楷体_GB2312" w:cs="Times New Roman"/>
          <w:b/>
          <w:sz w:val="32"/>
          <w:szCs w:val="32"/>
        </w:rPr>
      </w:pPr>
      <w:r>
        <w:rPr>
          <w:rFonts w:hint="eastAsia" w:ascii="Times New Roman" w:hAnsi="黑体" w:eastAsia="黑体" w:cs="Times New Roman"/>
          <w:sz w:val="32"/>
          <w:szCs w:val="32"/>
        </w:rPr>
        <w:t>一、开放命题</w:t>
      </w:r>
    </w:p>
    <w:p>
      <w:pPr>
        <w:numPr>
          <w:ilvl w:val="-1"/>
          <w:numId w:val="0"/>
        </w:numPr>
        <w:pBdr>
          <w:top w:val="none" w:color="auto" w:sz="0" w:space="1"/>
          <w:left w:val="none" w:color="auto" w:sz="0" w:space="4"/>
          <w:bottom w:val="none" w:color="auto" w:sz="0" w:space="1"/>
          <w:right w:val="none" w:color="auto" w:sz="0" w:space="4"/>
          <w:between w:val="none" w:color="auto" w:sz="0" w:space="0"/>
        </w:pBdr>
        <w:spacing w:line="60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1.习近平总书记关于</w:t>
      </w:r>
      <w:r>
        <w:rPr>
          <w:rFonts w:hint="eastAsia" w:ascii="楷体" w:hAnsi="楷体" w:eastAsia="楷体" w:cs="楷体"/>
          <w:b/>
          <w:sz w:val="32"/>
          <w:szCs w:val="32"/>
        </w:rPr>
        <w:t>“三农”</w:t>
      </w:r>
      <w:r>
        <w:rPr>
          <w:rFonts w:ascii="Times New Roman" w:hAnsi="Times New Roman" w:eastAsia="楷体_GB2312" w:cs="Times New Roman"/>
          <w:b/>
          <w:sz w:val="32"/>
          <w:szCs w:val="32"/>
        </w:rPr>
        <w:t>工作重要论述的理论</w:t>
      </w:r>
      <w:r>
        <w:rPr>
          <w:rFonts w:hint="eastAsia" w:ascii="Times New Roman" w:hAnsi="Times New Roman" w:eastAsia="楷体_GB2312" w:cs="Times New Roman"/>
          <w:b/>
          <w:sz w:val="32"/>
          <w:szCs w:val="32"/>
          <w:lang w:eastAsia="zh-CN"/>
        </w:rPr>
        <w:t>体系</w:t>
      </w:r>
      <w:r>
        <w:rPr>
          <w:rFonts w:ascii="Times New Roman" w:hAnsi="Times New Roman" w:eastAsia="楷体_GB2312" w:cs="Times New Roman"/>
          <w:b/>
          <w:sz w:val="32"/>
          <w:szCs w:val="32"/>
        </w:rPr>
        <w:t>、</w:t>
      </w:r>
      <w:r>
        <w:rPr>
          <w:rFonts w:hint="eastAsia" w:ascii="Times New Roman" w:hAnsi="Times New Roman" w:eastAsia="楷体_GB2312" w:cs="Times New Roman"/>
          <w:b/>
          <w:sz w:val="32"/>
          <w:szCs w:val="32"/>
          <w:lang w:val="en-US" w:eastAsia="zh-CN"/>
        </w:rPr>
        <w:t>时代</w:t>
      </w:r>
      <w:r>
        <w:rPr>
          <w:rFonts w:ascii="Times New Roman" w:hAnsi="Times New Roman" w:eastAsia="楷体_GB2312" w:cs="Times New Roman"/>
          <w:b/>
          <w:sz w:val="32"/>
          <w:szCs w:val="32"/>
        </w:rPr>
        <w:t>特征和实践价值研究</w:t>
      </w:r>
    </w:p>
    <w:p>
      <w:pPr>
        <w:numPr>
          <w:ilvl w:val="-1"/>
          <w:numId w:val="0"/>
        </w:numPr>
        <w:pBdr>
          <w:top w:val="none" w:color="auto" w:sz="0" w:space="1"/>
          <w:left w:val="none" w:color="auto" w:sz="0" w:space="4"/>
          <w:bottom w:val="none" w:color="auto" w:sz="0" w:space="1"/>
          <w:right w:val="none" w:color="auto" w:sz="0" w:space="4"/>
          <w:between w:val="none" w:color="auto" w:sz="0" w:space="0"/>
        </w:pBdr>
        <w:spacing w:line="600" w:lineRule="exact"/>
        <w:ind w:firstLine="640" w:firstLineChars="200"/>
        <w:rPr>
          <w:rFonts w:ascii="Times New Roman" w:hAnsi="Times New Roman" w:eastAsia="楷体_GB2312" w:cs="Times New Roman"/>
          <w:b/>
          <w:sz w:val="32"/>
          <w:szCs w:val="32"/>
        </w:rPr>
      </w:pPr>
      <w:r>
        <w:rPr>
          <w:rFonts w:hint="eastAsia" w:ascii="Times New Roman" w:hAnsi="Times New Roman" w:eastAsia="仿宋_GB2312" w:cs="Times New Roman"/>
          <w:b w:val="0"/>
          <w:sz w:val="32"/>
          <w:szCs w:val="32"/>
        </w:rPr>
        <w:t>系统</w:t>
      </w:r>
      <w:r>
        <w:rPr>
          <w:rFonts w:hint="default" w:ascii="Times New Roman" w:hAnsi="Times New Roman" w:eastAsia="仿宋_GB2312" w:cs="Times New Roman"/>
          <w:b w:val="0"/>
          <w:sz w:val="32"/>
          <w:szCs w:val="32"/>
        </w:rPr>
        <w:t>梳理</w:t>
      </w:r>
      <w:r>
        <w:rPr>
          <w:rFonts w:hint="eastAsia" w:ascii="Times New Roman" w:hAnsi="Times New Roman" w:eastAsia="仿宋_GB2312" w:cs="Times New Roman"/>
          <w:b w:val="0"/>
          <w:sz w:val="32"/>
          <w:szCs w:val="32"/>
        </w:rPr>
        <w:t>习近平总书记关于“三农”工作</w:t>
      </w:r>
      <w:r>
        <w:rPr>
          <w:rFonts w:hint="eastAsia" w:ascii="Times New Roman" w:hAnsi="Times New Roman" w:eastAsia="仿宋_GB2312" w:cs="Times New Roman"/>
          <w:b w:val="0"/>
          <w:sz w:val="32"/>
          <w:szCs w:val="32"/>
          <w:lang w:eastAsia="zh-CN"/>
        </w:rPr>
        <w:t>的</w:t>
      </w:r>
      <w:r>
        <w:rPr>
          <w:rFonts w:hint="eastAsia" w:ascii="Times New Roman" w:hAnsi="Times New Roman" w:eastAsia="仿宋_GB2312" w:cs="Times New Roman"/>
          <w:b w:val="0"/>
          <w:sz w:val="32"/>
          <w:szCs w:val="32"/>
        </w:rPr>
        <w:t>重要论述</w:t>
      </w:r>
      <w:r>
        <w:rPr>
          <w:rFonts w:hint="eastAsia" w:ascii="Times New Roman" w:hAnsi="Times New Roman" w:eastAsia="仿宋_GB2312" w:cs="Times New Roman"/>
          <w:b w:val="0"/>
          <w:sz w:val="32"/>
          <w:szCs w:val="32"/>
          <w:lang w:eastAsia="zh-CN"/>
        </w:rPr>
        <w:t>形成的</w:t>
      </w:r>
      <w:r>
        <w:rPr>
          <w:rFonts w:hint="eastAsia" w:ascii="Times New Roman" w:hAnsi="Times New Roman" w:eastAsia="仿宋_GB2312" w:cs="Times New Roman"/>
          <w:b w:val="0"/>
          <w:sz w:val="32"/>
          <w:szCs w:val="32"/>
        </w:rPr>
        <w:t>思想脉络，总结提炼其中所蕴含的鲜明理论特征和实践价值，进一步</w:t>
      </w:r>
      <w:r>
        <w:rPr>
          <w:rFonts w:hint="default" w:ascii="Times New Roman" w:hAnsi="Times New Roman" w:eastAsia="仿宋_GB2312" w:cs="Times New Roman"/>
          <w:b w:val="0"/>
          <w:sz w:val="32"/>
          <w:szCs w:val="32"/>
        </w:rPr>
        <w:t>升华</w:t>
      </w:r>
      <w:r>
        <w:rPr>
          <w:rFonts w:hint="eastAsia" w:ascii="Times New Roman" w:hAnsi="Times New Roman" w:eastAsia="仿宋_GB2312" w:cs="Times New Roman"/>
          <w:b w:val="0"/>
          <w:sz w:val="32"/>
          <w:szCs w:val="32"/>
        </w:rPr>
        <w:t>对重要论述的</w:t>
      </w:r>
      <w:r>
        <w:rPr>
          <w:rFonts w:hint="default" w:ascii="Times New Roman" w:hAnsi="Times New Roman" w:eastAsia="仿宋_GB2312" w:cs="Times New Roman"/>
          <w:b w:val="0"/>
          <w:sz w:val="32"/>
          <w:szCs w:val="32"/>
        </w:rPr>
        <w:t>科学</w:t>
      </w:r>
      <w:r>
        <w:rPr>
          <w:rFonts w:hint="eastAsia" w:ascii="Times New Roman" w:hAnsi="Times New Roman" w:eastAsia="仿宋_GB2312" w:cs="Times New Roman"/>
          <w:b w:val="0"/>
          <w:sz w:val="32"/>
          <w:szCs w:val="32"/>
        </w:rPr>
        <w:t>性、</w:t>
      </w:r>
      <w:r>
        <w:rPr>
          <w:rFonts w:hint="default" w:ascii="Times New Roman" w:hAnsi="Times New Roman" w:eastAsia="仿宋_GB2312" w:cs="Times New Roman"/>
          <w:b w:val="0"/>
          <w:sz w:val="32"/>
          <w:szCs w:val="32"/>
        </w:rPr>
        <w:t>系统</w:t>
      </w:r>
      <w:r>
        <w:rPr>
          <w:rFonts w:hint="eastAsia" w:ascii="Times New Roman" w:hAnsi="Times New Roman" w:eastAsia="仿宋_GB2312" w:cs="Times New Roman"/>
          <w:b w:val="0"/>
          <w:sz w:val="32"/>
          <w:szCs w:val="32"/>
        </w:rPr>
        <w:t>性和规律性认识，</w:t>
      </w:r>
      <w:r>
        <w:rPr>
          <w:rFonts w:hint="default" w:ascii="Times New Roman" w:hAnsi="Times New Roman" w:eastAsia="仿宋_GB2312" w:cs="Times New Roman"/>
          <w:b w:val="0"/>
          <w:sz w:val="32"/>
          <w:szCs w:val="32"/>
        </w:rPr>
        <w:t>研究</w:t>
      </w:r>
      <w:r>
        <w:rPr>
          <w:rFonts w:hint="eastAsia" w:ascii="Times New Roman" w:hAnsi="Times New Roman" w:eastAsia="仿宋_GB2312" w:cs="Times New Roman"/>
          <w:b w:val="0"/>
          <w:sz w:val="32"/>
          <w:szCs w:val="32"/>
        </w:rPr>
        <w:t>将</w:t>
      </w:r>
      <w:r>
        <w:rPr>
          <w:rFonts w:hint="eastAsia" w:ascii="Times New Roman" w:hAnsi="Times New Roman" w:eastAsia="仿宋_GB2312" w:cs="Times New Roman"/>
          <w:b w:val="0"/>
          <w:sz w:val="32"/>
          <w:szCs w:val="32"/>
          <w:lang w:eastAsia="zh-CN"/>
        </w:rPr>
        <w:t>重要论述</w:t>
      </w:r>
      <w:r>
        <w:rPr>
          <w:rFonts w:hint="eastAsia" w:ascii="Times New Roman" w:hAnsi="Times New Roman" w:eastAsia="仿宋_GB2312" w:cs="Times New Roman"/>
          <w:b w:val="0"/>
          <w:sz w:val="32"/>
          <w:szCs w:val="32"/>
        </w:rPr>
        <w:t>转化为全面推进乡村振兴、加快</w:t>
      </w:r>
      <w:r>
        <w:rPr>
          <w:rFonts w:hint="default" w:ascii="Times New Roman" w:hAnsi="Times New Roman" w:eastAsia="仿宋_GB2312" w:cs="Times New Roman"/>
          <w:b w:val="0"/>
          <w:sz w:val="32"/>
          <w:szCs w:val="32"/>
        </w:rPr>
        <w:t>建设</w:t>
      </w:r>
      <w:r>
        <w:rPr>
          <w:rFonts w:hint="eastAsia" w:ascii="Times New Roman" w:hAnsi="Times New Roman" w:eastAsia="仿宋_GB2312" w:cs="Times New Roman"/>
          <w:b w:val="0"/>
          <w:sz w:val="32"/>
          <w:szCs w:val="32"/>
        </w:rPr>
        <w:t>农业强国</w:t>
      </w:r>
      <w:r>
        <w:rPr>
          <w:rFonts w:hint="eastAsia" w:ascii="Times New Roman" w:hAnsi="Times New Roman" w:eastAsia="仿宋_GB2312" w:cs="Times New Roman"/>
          <w:b w:val="0"/>
          <w:sz w:val="32"/>
          <w:szCs w:val="32"/>
          <w:lang w:eastAsia="zh-CN"/>
        </w:rPr>
        <w:t>理论武装、实践遵循</w:t>
      </w:r>
      <w:r>
        <w:rPr>
          <w:rFonts w:hint="default" w:ascii="Times New Roman" w:hAnsi="Times New Roman" w:eastAsia="仿宋_GB2312" w:cs="Times New Roman"/>
          <w:b w:val="0"/>
          <w:sz w:val="32"/>
          <w:szCs w:val="32"/>
          <w:lang w:eastAsia="zh-CN"/>
        </w:rPr>
        <w:t>的路径</w:t>
      </w:r>
      <w:r>
        <w:rPr>
          <w:rFonts w:hint="eastAsia" w:ascii="Times New Roman" w:hAnsi="Times New Roman" w:eastAsia="仿宋_GB2312" w:cs="Times New Roman"/>
          <w:b w:val="0"/>
          <w:sz w:val="32"/>
          <w:szCs w:val="32"/>
        </w:rPr>
        <w:t>。</w:t>
      </w:r>
    </w:p>
    <w:p>
      <w:pPr>
        <w:pBdr>
          <w:top w:val="none" w:color="auto" w:sz="0" w:space="1"/>
          <w:left w:val="none" w:color="auto" w:sz="0" w:space="4"/>
          <w:bottom w:val="none" w:color="auto" w:sz="0" w:space="1"/>
          <w:right w:val="none" w:color="auto" w:sz="0" w:space="4"/>
          <w:between w:val="none" w:color="auto" w:sz="0" w:space="0"/>
        </w:pBdr>
        <w:spacing w:line="600"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val="en-US" w:eastAsia="zh-CN"/>
        </w:rPr>
        <w:t>2</w:t>
      </w:r>
      <w:r>
        <w:rPr>
          <w:rFonts w:ascii="Times New Roman" w:hAnsi="Times New Roman" w:eastAsia="楷体_GB2312" w:cs="Times New Roman"/>
          <w:b/>
          <w:sz w:val="32"/>
          <w:szCs w:val="32"/>
        </w:rPr>
        <w:t>.</w:t>
      </w:r>
      <w:r>
        <w:rPr>
          <w:rFonts w:hint="eastAsia" w:ascii="Times New Roman" w:hAnsi="Times New Roman" w:eastAsia="楷体_GB2312" w:cs="Times New Roman"/>
          <w:b/>
          <w:sz w:val="32"/>
          <w:szCs w:val="32"/>
          <w:lang w:eastAsia="zh-CN"/>
        </w:rPr>
        <w:t>加快建设</w:t>
      </w:r>
      <w:r>
        <w:rPr>
          <w:rFonts w:hint="eastAsia" w:ascii="Times New Roman" w:hAnsi="Times New Roman" w:eastAsia="楷体_GB2312" w:cs="Times New Roman"/>
          <w:b/>
          <w:sz w:val="32"/>
          <w:szCs w:val="32"/>
        </w:rPr>
        <w:t>农业强国</w:t>
      </w:r>
      <w:r>
        <w:rPr>
          <w:rFonts w:hint="eastAsia" w:ascii="Times New Roman" w:hAnsi="Times New Roman" w:eastAsia="楷体_GB2312" w:cs="Times New Roman"/>
          <w:b/>
          <w:sz w:val="32"/>
          <w:szCs w:val="32"/>
          <w:lang w:eastAsia="zh-CN"/>
        </w:rPr>
        <w:t>的</w:t>
      </w:r>
      <w:r>
        <w:rPr>
          <w:rFonts w:hint="eastAsia" w:ascii="Times New Roman" w:hAnsi="Times New Roman" w:eastAsia="楷体_GB2312" w:cs="Times New Roman"/>
          <w:b/>
          <w:sz w:val="32"/>
          <w:szCs w:val="32"/>
        </w:rPr>
        <w:t>战略研究</w:t>
      </w:r>
    </w:p>
    <w:p>
      <w:pPr>
        <w:pBdr>
          <w:top w:val="none" w:color="auto" w:sz="0" w:space="1"/>
          <w:left w:val="none" w:color="auto" w:sz="0" w:space="4"/>
          <w:bottom w:val="none" w:color="auto" w:sz="0" w:space="1"/>
          <w:right w:val="none" w:color="auto" w:sz="0" w:space="4"/>
          <w:between w:val="none" w:color="auto" w:sz="0" w:space="0"/>
        </w:pBd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围绕建设农业强国目标，</w:t>
      </w:r>
      <w:r>
        <w:rPr>
          <w:rFonts w:hint="default" w:ascii="Times New Roman" w:hAnsi="Times New Roman" w:eastAsia="仿宋_GB2312" w:cs="Times New Roman"/>
          <w:sz w:val="32"/>
          <w:szCs w:val="32"/>
        </w:rPr>
        <w:t>分析国外农业强国的共同特征，</w:t>
      </w:r>
      <w:r>
        <w:rPr>
          <w:rFonts w:hint="eastAsia" w:ascii="Times New Roman" w:hAnsi="Times New Roman" w:eastAsia="仿宋_GB2312" w:cs="Times New Roman"/>
          <w:sz w:val="32"/>
          <w:szCs w:val="32"/>
        </w:rPr>
        <w:t>立足国情农情</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时代特征</w:t>
      </w:r>
      <w:r>
        <w:rPr>
          <w:rFonts w:hint="default" w:ascii="Times New Roman" w:hAnsi="Times New Roman" w:eastAsia="仿宋_GB2312" w:cs="Times New Roman"/>
          <w:sz w:val="32"/>
          <w:szCs w:val="32"/>
          <w:lang w:eastAsia="zh-CN"/>
        </w:rPr>
        <w:t>、中国特色</w:t>
      </w:r>
      <w:r>
        <w:rPr>
          <w:rFonts w:hint="eastAsia" w:ascii="Times New Roman" w:hAnsi="Times New Roman" w:eastAsia="仿宋_GB2312" w:cs="Times New Roman"/>
          <w:sz w:val="32"/>
          <w:szCs w:val="32"/>
        </w:rPr>
        <w:t>，系统研究未来5年、到2035年、到本世纪中叶</w:t>
      </w:r>
      <w:r>
        <w:rPr>
          <w:rFonts w:hint="eastAsia" w:eastAsia="仿宋_GB2312" w:cs="Times New Roman"/>
          <w:sz w:val="32"/>
          <w:szCs w:val="32"/>
          <w:lang w:eastAsia="zh-CN"/>
        </w:rPr>
        <w:t>三个阶段</w:t>
      </w:r>
      <w:r>
        <w:rPr>
          <w:rFonts w:hint="eastAsia" w:ascii="Times New Roman" w:hAnsi="Times New Roman" w:eastAsia="仿宋_GB2312" w:cs="Times New Roman"/>
          <w:sz w:val="32"/>
          <w:szCs w:val="32"/>
        </w:rPr>
        <w:t>的</w:t>
      </w:r>
      <w:r>
        <w:rPr>
          <w:rFonts w:hint="default" w:ascii="Times New Roman" w:hAnsi="Times New Roman" w:eastAsia="仿宋_GB2312" w:cs="Times New Roman"/>
          <w:sz w:val="32"/>
          <w:szCs w:val="32"/>
        </w:rPr>
        <w:t>目标</w:t>
      </w:r>
      <w:r>
        <w:rPr>
          <w:rFonts w:hint="eastAsia" w:eastAsia="仿宋_GB2312" w:cs="Times New Roman"/>
          <w:sz w:val="32"/>
          <w:szCs w:val="32"/>
          <w:lang w:eastAsia="zh-CN"/>
        </w:rPr>
        <w:t>任务</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总体思路</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抓手载体和政策支撑</w:t>
      </w:r>
      <w:r>
        <w:rPr>
          <w:rFonts w:hint="default" w:ascii="Times New Roman" w:hAnsi="Times New Roman" w:eastAsia="仿宋_GB2312" w:cs="Times New Roman"/>
          <w:sz w:val="32"/>
          <w:szCs w:val="32"/>
        </w:rPr>
        <w:t>。</w:t>
      </w:r>
    </w:p>
    <w:p>
      <w:pPr>
        <w:pBdr>
          <w:top w:val="none" w:color="auto" w:sz="0" w:space="1"/>
          <w:left w:val="none" w:color="auto" w:sz="0" w:space="4"/>
          <w:bottom w:val="none" w:color="auto" w:sz="0" w:space="1"/>
          <w:right w:val="none" w:color="auto" w:sz="0" w:space="4"/>
          <w:between w:val="none" w:color="auto" w:sz="0" w:space="0"/>
        </w:pBdr>
        <w:spacing w:line="600"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val="en-US" w:eastAsia="zh-CN"/>
        </w:rPr>
        <w:t>3</w:t>
      </w:r>
      <w:r>
        <w:rPr>
          <w:rFonts w:ascii="Times New Roman" w:hAnsi="Times New Roman" w:eastAsia="楷体_GB2312" w:cs="Times New Roman"/>
          <w:b/>
          <w:sz w:val="32"/>
          <w:szCs w:val="32"/>
        </w:rPr>
        <w:t>.</w:t>
      </w:r>
      <w:r>
        <w:rPr>
          <w:rFonts w:hint="eastAsia" w:ascii="Times New Roman" w:hAnsi="Times New Roman" w:eastAsia="楷体_GB2312" w:cs="Times New Roman"/>
          <w:b/>
          <w:sz w:val="32"/>
          <w:szCs w:val="32"/>
        </w:rPr>
        <w:t>全方位夯实粮食安全根基研究</w:t>
      </w:r>
    </w:p>
    <w:p>
      <w:pPr>
        <w:pBdr>
          <w:top w:val="none" w:color="auto" w:sz="0" w:space="1"/>
          <w:left w:val="none" w:color="auto" w:sz="0" w:space="4"/>
          <w:bottom w:val="none" w:color="auto" w:sz="0" w:space="1"/>
          <w:right w:val="none" w:color="auto" w:sz="0" w:space="4"/>
          <w:between w:val="none" w:color="auto" w:sz="0" w:space="0"/>
        </w:pBd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结合国内外形势发展变化，</w:t>
      </w:r>
      <w:r>
        <w:rPr>
          <w:rFonts w:hint="eastAsia" w:ascii="Times New Roman" w:hAnsi="Times New Roman" w:eastAsia="仿宋_GB2312" w:cs="Times New Roman"/>
          <w:sz w:val="32"/>
          <w:szCs w:val="32"/>
          <w:lang w:eastAsia="zh-CN"/>
        </w:rPr>
        <w:t>分析粮食安全形势，</w:t>
      </w:r>
      <w:r>
        <w:rPr>
          <w:rFonts w:hint="eastAsia" w:ascii="Times New Roman" w:hAnsi="Times New Roman" w:eastAsia="仿宋_GB2312" w:cs="Times New Roman"/>
          <w:sz w:val="32"/>
          <w:szCs w:val="32"/>
        </w:rPr>
        <w:t>坚持系统思维、底线思维，</w:t>
      </w:r>
      <w:r>
        <w:rPr>
          <w:rFonts w:hint="default" w:ascii="Times New Roman" w:hAnsi="Times New Roman" w:eastAsia="仿宋_GB2312" w:cs="Times New Roman"/>
          <w:sz w:val="32"/>
          <w:szCs w:val="32"/>
        </w:rPr>
        <w:t>围绕藏粮于地、藏粮于技、农民种粮挣钱得利、地方抓粮担责尽义等方面，研究提出</w:t>
      </w:r>
      <w:r>
        <w:rPr>
          <w:rFonts w:hint="eastAsia" w:ascii="Times New Roman" w:hAnsi="Times New Roman" w:eastAsia="仿宋_GB2312" w:cs="Times New Roman"/>
          <w:sz w:val="32"/>
          <w:szCs w:val="32"/>
        </w:rPr>
        <w:t>全方位</w:t>
      </w:r>
      <w:r>
        <w:rPr>
          <w:rFonts w:hint="default" w:ascii="Times New Roman" w:hAnsi="Times New Roman" w:eastAsia="仿宋_GB2312" w:cs="Times New Roman"/>
          <w:sz w:val="32"/>
          <w:szCs w:val="32"/>
        </w:rPr>
        <w:t>夯实</w:t>
      </w:r>
      <w:r>
        <w:rPr>
          <w:rFonts w:hint="eastAsia" w:ascii="Times New Roman" w:hAnsi="Times New Roman" w:eastAsia="仿宋_GB2312" w:cs="Times New Roman"/>
          <w:sz w:val="32"/>
          <w:szCs w:val="32"/>
        </w:rPr>
        <w:t>粮食安全</w:t>
      </w:r>
      <w:r>
        <w:rPr>
          <w:rFonts w:hint="default" w:ascii="Times New Roman" w:hAnsi="Times New Roman" w:eastAsia="仿宋_GB2312" w:cs="Times New Roman"/>
          <w:sz w:val="32"/>
          <w:szCs w:val="32"/>
        </w:rPr>
        <w:t>根基</w:t>
      </w:r>
      <w:r>
        <w:rPr>
          <w:rFonts w:hint="eastAsia" w:ascii="Times New Roman" w:hAnsi="Times New Roman" w:eastAsia="仿宋_GB2312" w:cs="Times New Roman"/>
          <w:sz w:val="32"/>
          <w:szCs w:val="32"/>
        </w:rPr>
        <w:t>的体制机制、</w:t>
      </w:r>
      <w:r>
        <w:rPr>
          <w:rFonts w:hint="default" w:ascii="Times New Roman" w:hAnsi="Times New Roman" w:eastAsia="仿宋_GB2312" w:cs="Times New Roman"/>
          <w:sz w:val="32"/>
          <w:szCs w:val="32"/>
        </w:rPr>
        <w:t>政策保障</w:t>
      </w:r>
      <w:r>
        <w:rPr>
          <w:rFonts w:hint="eastAsia" w:ascii="Times New Roman" w:hAnsi="Times New Roman" w:eastAsia="仿宋_GB2312" w:cs="Times New Roman"/>
          <w:sz w:val="32"/>
          <w:szCs w:val="32"/>
        </w:rPr>
        <w:t>。</w:t>
      </w:r>
    </w:p>
    <w:p>
      <w:pPr>
        <w:pBdr>
          <w:top w:val="none" w:color="auto" w:sz="0" w:space="1"/>
          <w:left w:val="none" w:color="auto" w:sz="0" w:space="4"/>
          <w:bottom w:val="none" w:color="auto" w:sz="0" w:space="1"/>
          <w:right w:val="none" w:color="auto" w:sz="0" w:space="4"/>
          <w:between w:val="none" w:color="auto" w:sz="0" w:space="0"/>
        </w:pBdr>
        <w:spacing w:line="600"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val="en-US" w:eastAsia="zh-CN"/>
        </w:rPr>
        <w:t>4.</w:t>
      </w:r>
      <w:r>
        <w:rPr>
          <w:rFonts w:hint="eastAsia" w:ascii="Times New Roman" w:hAnsi="Times New Roman" w:eastAsia="楷体_GB2312" w:cs="Times New Roman"/>
          <w:b/>
          <w:sz w:val="32"/>
          <w:szCs w:val="32"/>
        </w:rPr>
        <w:t>过渡期后脱贫人口和脱贫地区常态化帮扶机制研究</w:t>
      </w:r>
    </w:p>
    <w:p>
      <w:pPr>
        <w:pBdr>
          <w:top w:val="none" w:color="auto" w:sz="0" w:space="1"/>
          <w:left w:val="none" w:color="auto" w:sz="0" w:space="4"/>
          <w:bottom w:val="none" w:color="auto" w:sz="0" w:space="1"/>
          <w:right w:val="none" w:color="auto" w:sz="0" w:space="4"/>
          <w:between w:val="none" w:color="auto" w:sz="0" w:space="0"/>
        </w:pBdr>
        <w:spacing w:line="6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在深入调查研究的基础上，就推动</w:t>
      </w:r>
      <w:r>
        <w:rPr>
          <w:rFonts w:hint="eastAsia" w:ascii="Times New Roman" w:hAnsi="Times New Roman" w:eastAsia="仿宋_GB2312" w:cs="Times New Roman"/>
          <w:sz w:val="32"/>
          <w:szCs w:val="32"/>
        </w:rPr>
        <w:t>防止返贫帮扶政策和农村低收入人口帮扶政策衔接并轨</w:t>
      </w:r>
      <w:r>
        <w:rPr>
          <w:rFonts w:hint="default" w:ascii="Times New Roman" w:hAnsi="Times New Roman" w:eastAsia="仿宋_GB2312" w:cs="Times New Roman"/>
          <w:sz w:val="32"/>
          <w:szCs w:val="32"/>
        </w:rPr>
        <w:t>、建立</w:t>
      </w:r>
      <w:r>
        <w:rPr>
          <w:rFonts w:hint="eastAsia" w:ascii="Times New Roman" w:hAnsi="Times New Roman" w:eastAsia="仿宋_GB2312" w:cs="Times New Roman"/>
          <w:sz w:val="32"/>
          <w:szCs w:val="32"/>
        </w:rPr>
        <w:t>欠发达地区常态化帮扶</w:t>
      </w:r>
      <w:r>
        <w:rPr>
          <w:rFonts w:hint="default" w:ascii="Times New Roman" w:hAnsi="Times New Roman" w:eastAsia="仿宋_GB2312" w:cs="Times New Roman"/>
          <w:sz w:val="32"/>
          <w:szCs w:val="32"/>
        </w:rPr>
        <w:t>机制、增强脱贫地区和脱贫群众内生发展动力，提出政策建议</w:t>
      </w:r>
      <w:r>
        <w:rPr>
          <w:rFonts w:hint="eastAsia" w:ascii="Times New Roman" w:hAnsi="Times New Roman" w:eastAsia="仿宋_GB2312" w:cs="Times New Roman"/>
          <w:sz w:val="32"/>
          <w:szCs w:val="32"/>
        </w:rPr>
        <w:t>。</w:t>
      </w:r>
    </w:p>
    <w:p>
      <w:pPr>
        <w:pBdr>
          <w:top w:val="none" w:color="auto" w:sz="0" w:space="1"/>
          <w:left w:val="none" w:color="auto" w:sz="0" w:space="4"/>
          <w:bottom w:val="none" w:color="auto" w:sz="0" w:space="1"/>
          <w:right w:val="none" w:color="auto" w:sz="0" w:space="4"/>
          <w:between w:val="none" w:color="auto" w:sz="0" w:space="0"/>
        </w:pBdr>
        <w:spacing w:line="600"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val="en-US" w:eastAsia="zh-CN"/>
        </w:rPr>
        <w:t>5</w:t>
      </w:r>
      <w:r>
        <w:rPr>
          <w:rFonts w:ascii="Times New Roman" w:hAnsi="Times New Roman" w:eastAsia="楷体_GB2312" w:cs="Times New Roman"/>
          <w:b/>
          <w:sz w:val="32"/>
          <w:szCs w:val="32"/>
        </w:rPr>
        <w:t>.</w:t>
      </w:r>
      <w:r>
        <w:rPr>
          <w:rFonts w:hint="eastAsia" w:ascii="Times New Roman" w:hAnsi="Times New Roman" w:eastAsia="楷体_GB2312" w:cs="Times New Roman"/>
          <w:b/>
          <w:sz w:val="32"/>
          <w:szCs w:val="32"/>
          <w:lang w:eastAsia="zh-CN"/>
        </w:rPr>
        <w:t>拓宽</w:t>
      </w:r>
      <w:r>
        <w:rPr>
          <w:rFonts w:hint="eastAsia" w:ascii="Times New Roman" w:hAnsi="Times New Roman" w:eastAsia="楷体_GB2312" w:cs="Times New Roman"/>
          <w:b/>
          <w:sz w:val="32"/>
          <w:szCs w:val="32"/>
        </w:rPr>
        <w:t>农民增收</w:t>
      </w:r>
      <w:r>
        <w:rPr>
          <w:rFonts w:hint="eastAsia" w:ascii="Times New Roman" w:hAnsi="Times New Roman" w:eastAsia="楷体_GB2312" w:cs="Times New Roman"/>
          <w:b/>
          <w:sz w:val="32"/>
          <w:szCs w:val="32"/>
          <w:lang w:eastAsia="zh-CN"/>
        </w:rPr>
        <w:t>致富渠道</w:t>
      </w:r>
      <w:r>
        <w:rPr>
          <w:rFonts w:hint="eastAsia" w:ascii="Times New Roman" w:hAnsi="Times New Roman" w:eastAsia="楷体_GB2312" w:cs="Times New Roman"/>
          <w:b/>
          <w:sz w:val="32"/>
          <w:szCs w:val="32"/>
        </w:rPr>
        <w:t>研究</w:t>
      </w:r>
    </w:p>
    <w:p>
      <w:pPr>
        <w:pBdr>
          <w:top w:val="none" w:color="auto" w:sz="0" w:space="1"/>
          <w:left w:val="none" w:color="auto" w:sz="0" w:space="4"/>
          <w:bottom w:val="none" w:color="auto" w:sz="0" w:space="1"/>
          <w:right w:val="none" w:color="auto" w:sz="0" w:space="4"/>
          <w:between w:val="none" w:color="auto" w:sz="0" w:space="0"/>
        </w:pBdr>
        <w:spacing w:line="600" w:lineRule="exact"/>
        <w:ind w:firstLine="640" w:firstLineChars="200"/>
        <w:rPr>
          <w:rFonts w:hint="eastAsia" w:ascii="Times New Roman" w:hAnsi="Times New Roman" w:eastAsia="仿宋_GB2312" w:cs="Times New Roman"/>
          <w:b w:val="0"/>
          <w:sz w:val="32"/>
          <w:szCs w:val="32"/>
        </w:rPr>
      </w:pPr>
      <w:r>
        <w:rPr>
          <w:rFonts w:hint="eastAsia" w:ascii="Times New Roman" w:hAnsi="Times New Roman" w:eastAsia="仿宋_GB2312" w:cs="Times New Roman"/>
          <w:sz w:val="32"/>
          <w:szCs w:val="32"/>
          <w:lang w:eastAsia="zh-CN"/>
        </w:rPr>
        <w:t>调查</w:t>
      </w:r>
      <w:r>
        <w:rPr>
          <w:rFonts w:hint="eastAsia" w:ascii="Times New Roman" w:hAnsi="Times New Roman" w:eastAsia="仿宋_GB2312" w:cs="Times New Roman"/>
          <w:sz w:val="32"/>
          <w:szCs w:val="32"/>
        </w:rPr>
        <w:t>分析当前农民增收</w:t>
      </w:r>
      <w:r>
        <w:rPr>
          <w:rFonts w:hint="default" w:ascii="Times New Roman" w:hAnsi="Times New Roman" w:eastAsia="仿宋_GB2312" w:cs="Times New Roman"/>
          <w:sz w:val="32"/>
          <w:szCs w:val="32"/>
        </w:rPr>
        <w:t>面临的新</w:t>
      </w:r>
      <w:r>
        <w:rPr>
          <w:rFonts w:hint="eastAsia" w:ascii="Times New Roman" w:hAnsi="Times New Roman" w:eastAsia="仿宋_GB2312" w:cs="Times New Roman"/>
          <w:sz w:val="32"/>
          <w:szCs w:val="32"/>
        </w:rPr>
        <w:t>形势，深入分析</w:t>
      </w:r>
      <w:r>
        <w:rPr>
          <w:rFonts w:hint="eastAsia" w:ascii="Times New Roman" w:hAnsi="Times New Roman" w:eastAsia="仿宋_GB2312" w:cs="Times New Roman"/>
          <w:sz w:val="32"/>
          <w:szCs w:val="32"/>
          <w:lang w:eastAsia="zh-CN"/>
        </w:rPr>
        <w:t>当前和</w:t>
      </w:r>
      <w:r>
        <w:rPr>
          <w:rFonts w:hint="default" w:ascii="Times New Roman" w:hAnsi="Times New Roman" w:eastAsia="仿宋_GB2312" w:cs="Times New Roman"/>
          <w:sz w:val="32"/>
          <w:szCs w:val="32"/>
        </w:rPr>
        <w:t>今后一个时期</w:t>
      </w:r>
      <w:r>
        <w:rPr>
          <w:rFonts w:hint="eastAsia" w:ascii="Times New Roman" w:hAnsi="Times New Roman" w:eastAsia="仿宋_GB2312" w:cs="Times New Roman"/>
          <w:sz w:val="32"/>
          <w:szCs w:val="32"/>
        </w:rPr>
        <w:t>促进农民增收的重点难点，着眼扎实推进共同富裕，研究提出促进农民增收的可行路径和新思路、新举措。</w:t>
      </w:r>
    </w:p>
    <w:p>
      <w:pPr>
        <w:pBdr>
          <w:top w:val="none" w:color="auto" w:sz="0" w:space="1"/>
          <w:left w:val="none" w:color="auto" w:sz="0" w:space="4"/>
          <w:bottom w:val="none" w:color="auto" w:sz="0" w:space="1"/>
          <w:right w:val="none" w:color="auto" w:sz="0" w:space="4"/>
          <w:between w:val="none" w:color="auto" w:sz="0" w:space="0"/>
        </w:pBdr>
        <w:spacing w:line="600"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val="en-US" w:eastAsia="zh-CN"/>
        </w:rPr>
        <w:t>6</w:t>
      </w:r>
      <w:r>
        <w:rPr>
          <w:rFonts w:ascii="Times New Roman" w:hAnsi="Times New Roman" w:eastAsia="楷体_GB2312" w:cs="Times New Roman"/>
          <w:b/>
          <w:sz w:val="32"/>
          <w:szCs w:val="32"/>
        </w:rPr>
        <w:t>.</w:t>
      </w:r>
      <w:r>
        <w:rPr>
          <w:rFonts w:hint="eastAsia" w:ascii="Times New Roman" w:hAnsi="Times New Roman" w:eastAsia="楷体_GB2312" w:cs="Times New Roman"/>
          <w:b/>
          <w:sz w:val="32"/>
          <w:szCs w:val="32"/>
        </w:rPr>
        <w:t>逐步使农村基本具备现代生活条件研究</w:t>
      </w:r>
    </w:p>
    <w:p>
      <w:pPr>
        <w:pBdr>
          <w:top w:val="none" w:color="auto" w:sz="0" w:space="1"/>
          <w:left w:val="none" w:color="auto" w:sz="0" w:space="4"/>
          <w:bottom w:val="none" w:color="auto" w:sz="0" w:space="1"/>
          <w:right w:val="none" w:color="auto" w:sz="0" w:space="4"/>
          <w:between w:val="none" w:color="auto" w:sz="0" w:space="0"/>
        </w:pBd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落实</w:t>
      </w:r>
      <w:r>
        <w:rPr>
          <w:rFonts w:hint="default" w:ascii="Times New Roman" w:hAnsi="Times New Roman" w:eastAsia="仿宋_GB2312" w:cs="Times New Roman"/>
          <w:sz w:val="32"/>
          <w:szCs w:val="32"/>
        </w:rPr>
        <w:t>建设</w:t>
      </w:r>
      <w:r>
        <w:rPr>
          <w:rFonts w:hint="eastAsia" w:ascii="Times New Roman" w:hAnsi="Times New Roman" w:eastAsia="仿宋_GB2312" w:cs="Times New Roman"/>
          <w:sz w:val="32"/>
          <w:szCs w:val="32"/>
        </w:rPr>
        <w:t>宜居宜业和美乡村</w:t>
      </w:r>
      <w:r>
        <w:rPr>
          <w:rFonts w:hint="default" w:ascii="Times New Roman" w:hAnsi="Times New Roman" w:eastAsia="仿宋_GB2312" w:cs="Times New Roman"/>
          <w:sz w:val="32"/>
          <w:szCs w:val="32"/>
        </w:rPr>
        <w:t>的要求</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按照</w:t>
      </w:r>
      <w:r>
        <w:rPr>
          <w:rFonts w:hint="default" w:ascii="Times New Roman" w:hAnsi="Times New Roman" w:eastAsia="仿宋_GB2312" w:cs="Times New Roman"/>
          <w:sz w:val="32"/>
          <w:szCs w:val="32"/>
        </w:rPr>
        <w:t>到2035年农村基本具备现代生活条件的目标，结合城乡关系和村庄布局演变趋势，</w:t>
      </w:r>
      <w:r>
        <w:rPr>
          <w:rFonts w:hint="eastAsia" w:ascii="Times New Roman" w:hAnsi="Times New Roman" w:eastAsia="仿宋_GB2312" w:cs="Times New Roman"/>
          <w:sz w:val="32"/>
          <w:szCs w:val="32"/>
        </w:rPr>
        <w:t>研究逐步使农村基本具备现代生活条件的</w:t>
      </w:r>
      <w:r>
        <w:rPr>
          <w:rFonts w:hint="default" w:ascii="Times New Roman" w:hAnsi="Times New Roman" w:eastAsia="仿宋_GB2312" w:cs="Times New Roman"/>
          <w:sz w:val="32"/>
          <w:szCs w:val="32"/>
        </w:rPr>
        <w:t>科学</w:t>
      </w:r>
      <w:r>
        <w:rPr>
          <w:rFonts w:hint="eastAsia" w:ascii="Times New Roman" w:hAnsi="Times New Roman" w:eastAsia="仿宋_GB2312" w:cs="Times New Roman"/>
          <w:sz w:val="32"/>
          <w:szCs w:val="32"/>
        </w:rPr>
        <w:t>内涵、</w:t>
      </w:r>
      <w:r>
        <w:rPr>
          <w:rFonts w:hint="default" w:ascii="Times New Roman" w:hAnsi="Times New Roman" w:eastAsia="仿宋_GB2312" w:cs="Times New Roman"/>
          <w:sz w:val="32"/>
          <w:szCs w:val="32"/>
        </w:rPr>
        <w:t>合理</w:t>
      </w:r>
      <w:r>
        <w:rPr>
          <w:rFonts w:hint="eastAsia" w:ascii="Times New Roman" w:hAnsi="Times New Roman" w:eastAsia="仿宋_GB2312" w:cs="Times New Roman"/>
          <w:sz w:val="32"/>
          <w:szCs w:val="32"/>
        </w:rPr>
        <w:t>标准、实现步骤</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政策举措。</w:t>
      </w:r>
    </w:p>
    <w:p>
      <w:pPr>
        <w:pBdr>
          <w:top w:val="none" w:color="auto" w:sz="0" w:space="1"/>
          <w:left w:val="none" w:color="auto" w:sz="0" w:space="4"/>
          <w:bottom w:val="none" w:color="auto" w:sz="0" w:space="1"/>
          <w:right w:val="none" w:color="auto" w:sz="0" w:space="4"/>
          <w:between w:val="none" w:color="auto" w:sz="0" w:space="0"/>
        </w:pBdr>
        <w:spacing w:line="600"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val="en-US" w:eastAsia="zh-CN"/>
        </w:rPr>
        <w:t>7</w:t>
      </w:r>
      <w:r>
        <w:rPr>
          <w:rFonts w:ascii="Times New Roman" w:hAnsi="Times New Roman" w:eastAsia="楷体_GB2312" w:cs="Times New Roman"/>
          <w:b/>
          <w:sz w:val="32"/>
          <w:szCs w:val="32"/>
        </w:rPr>
        <w:t>.</w:t>
      </w:r>
      <w:r>
        <w:rPr>
          <w:rFonts w:hint="eastAsia" w:ascii="Times New Roman" w:hAnsi="Times New Roman" w:eastAsia="楷体_GB2312" w:cs="Times New Roman"/>
          <w:b/>
          <w:sz w:val="32"/>
          <w:szCs w:val="32"/>
        </w:rPr>
        <w:t>畅通城乡要素流动研究</w:t>
      </w:r>
    </w:p>
    <w:p>
      <w:pPr>
        <w:pBdr>
          <w:top w:val="none" w:color="auto" w:sz="0" w:space="1"/>
          <w:left w:val="none" w:color="auto" w:sz="0" w:space="4"/>
          <w:bottom w:val="none" w:color="auto" w:sz="0" w:space="1"/>
          <w:right w:val="none" w:color="auto" w:sz="0" w:space="4"/>
          <w:between w:val="none" w:color="auto" w:sz="0" w:space="0"/>
        </w:pBd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围绕</w:t>
      </w:r>
      <w:r>
        <w:rPr>
          <w:rFonts w:hint="eastAsia" w:ascii="Times New Roman" w:hAnsi="Times New Roman" w:eastAsia="仿宋_GB2312" w:cs="Times New Roman"/>
          <w:sz w:val="32"/>
          <w:szCs w:val="32"/>
        </w:rPr>
        <w:t>破除妨碍城乡要素平等交换、双向流动制度壁垒，推动人、地、钱、技术、管理、信息等资源要素更多下乡</w:t>
      </w:r>
      <w:r>
        <w:rPr>
          <w:rFonts w:hint="default" w:ascii="Times New Roman" w:hAnsi="Times New Roman" w:eastAsia="仿宋_GB2312" w:cs="Times New Roman"/>
          <w:sz w:val="32"/>
          <w:szCs w:val="32"/>
        </w:rPr>
        <w:t>入乡</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研究提出</w:t>
      </w:r>
      <w:r>
        <w:rPr>
          <w:rFonts w:hint="eastAsia" w:ascii="Times New Roman" w:hAnsi="Times New Roman" w:eastAsia="仿宋_GB2312" w:cs="Times New Roman"/>
          <w:sz w:val="32"/>
          <w:szCs w:val="32"/>
        </w:rPr>
        <w:t>率先在县域内破除城乡二元结构</w:t>
      </w:r>
      <w:r>
        <w:rPr>
          <w:rFonts w:hint="eastAsia" w:ascii="Times New Roman" w:hAnsi="Times New Roman" w:eastAsia="仿宋_GB2312" w:cs="Times New Roman"/>
          <w:sz w:val="32"/>
          <w:szCs w:val="32"/>
          <w:lang w:eastAsia="zh-CN"/>
        </w:rPr>
        <w:t>的政策举措</w:t>
      </w:r>
      <w:r>
        <w:rPr>
          <w:rFonts w:hint="eastAsia" w:ascii="Times New Roman" w:hAnsi="Times New Roman" w:eastAsia="仿宋_GB2312" w:cs="Times New Roman"/>
          <w:sz w:val="32"/>
          <w:szCs w:val="32"/>
        </w:rPr>
        <w:t>。</w:t>
      </w:r>
    </w:p>
    <w:p>
      <w:pPr>
        <w:pBdr>
          <w:top w:val="none" w:color="auto" w:sz="0" w:space="1"/>
          <w:left w:val="none" w:color="auto" w:sz="0" w:space="4"/>
          <w:bottom w:val="none" w:color="auto" w:sz="0" w:space="1"/>
          <w:right w:val="none" w:color="auto" w:sz="0" w:space="4"/>
          <w:between w:val="none" w:color="auto" w:sz="0" w:space="0"/>
        </w:pBdr>
        <w:spacing w:line="600"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val="en-US" w:eastAsia="zh-CN"/>
        </w:rPr>
        <w:t>8</w:t>
      </w:r>
      <w:r>
        <w:rPr>
          <w:rFonts w:ascii="Times New Roman" w:hAnsi="Times New Roman" w:eastAsia="楷体_GB2312" w:cs="Times New Roman"/>
          <w:b/>
          <w:sz w:val="32"/>
          <w:szCs w:val="32"/>
        </w:rPr>
        <w:t>.</w:t>
      </w:r>
      <w:r>
        <w:rPr>
          <w:rFonts w:hint="eastAsia" w:ascii="Times New Roman" w:hAnsi="Times New Roman" w:eastAsia="楷体_GB2312" w:cs="Times New Roman"/>
          <w:b/>
          <w:sz w:val="32"/>
          <w:szCs w:val="32"/>
        </w:rPr>
        <w:t>赋予农民更加充分的财产权益研究</w:t>
      </w:r>
    </w:p>
    <w:p>
      <w:pPr>
        <w:pBdr>
          <w:top w:val="none" w:color="auto" w:sz="0" w:space="1"/>
          <w:left w:val="none" w:color="auto" w:sz="0" w:space="4"/>
          <w:bottom w:val="none" w:color="auto" w:sz="0" w:space="1"/>
          <w:right w:val="none" w:color="auto" w:sz="0" w:space="4"/>
          <w:between w:val="none" w:color="auto" w:sz="0" w:space="0"/>
        </w:pBdr>
        <w:spacing w:line="600" w:lineRule="exact"/>
        <w:ind w:firstLine="640" w:firstLineChars="20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深入</w:t>
      </w:r>
      <w:r>
        <w:rPr>
          <w:rFonts w:hint="eastAsia" w:ascii="Times New Roman" w:hAnsi="Times New Roman" w:eastAsia="仿宋_GB2312" w:cs="Times New Roman"/>
          <w:sz w:val="32"/>
          <w:szCs w:val="32"/>
        </w:rPr>
        <w:t>研究农民资源资产权利</w:t>
      </w:r>
      <w:r>
        <w:rPr>
          <w:rFonts w:hint="default" w:ascii="Times New Roman" w:hAnsi="Times New Roman" w:eastAsia="仿宋_GB2312" w:cs="Times New Roman"/>
          <w:sz w:val="32"/>
          <w:szCs w:val="32"/>
        </w:rPr>
        <w:t>的</w:t>
      </w:r>
      <w:r>
        <w:rPr>
          <w:rFonts w:hint="eastAsia" w:ascii="Times New Roman" w:hAnsi="Times New Roman" w:eastAsia="仿宋_GB2312" w:cs="Times New Roman"/>
          <w:sz w:val="32"/>
          <w:szCs w:val="32"/>
        </w:rPr>
        <w:t>保障机制</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分析赋予农民更加充分的财产权益面临的制约因素，</w:t>
      </w:r>
      <w:r>
        <w:rPr>
          <w:rFonts w:hint="default" w:ascii="Times New Roman" w:hAnsi="Times New Roman" w:eastAsia="仿宋_GB2312" w:cs="Times New Roman"/>
          <w:sz w:val="32"/>
          <w:szCs w:val="32"/>
        </w:rPr>
        <w:t>针对</w:t>
      </w:r>
      <w:r>
        <w:rPr>
          <w:rFonts w:hint="eastAsia" w:ascii="Times New Roman" w:hAnsi="Times New Roman" w:eastAsia="仿宋_GB2312" w:cs="Times New Roman"/>
          <w:sz w:val="32"/>
          <w:szCs w:val="32"/>
        </w:rPr>
        <w:t>不同类型财产权益</w:t>
      </w:r>
      <w:r>
        <w:rPr>
          <w:rFonts w:hint="default" w:ascii="Times New Roman" w:hAnsi="Times New Roman" w:eastAsia="仿宋_GB2312" w:cs="Times New Roman"/>
          <w:sz w:val="32"/>
          <w:szCs w:val="32"/>
        </w:rPr>
        <w:t>，提出适应社会主义市场经济要求</w:t>
      </w:r>
      <w:r>
        <w:rPr>
          <w:rFonts w:hint="eastAsia" w:ascii="Times New Roman" w:hAnsi="Times New Roman" w:eastAsia="仿宋_GB2312" w:cs="Times New Roman"/>
          <w:sz w:val="32"/>
          <w:szCs w:val="32"/>
        </w:rPr>
        <w:t>的</w:t>
      </w:r>
      <w:r>
        <w:rPr>
          <w:rFonts w:hint="default" w:ascii="Times New Roman" w:hAnsi="Times New Roman" w:eastAsia="仿宋_GB2312" w:cs="Times New Roman"/>
          <w:sz w:val="32"/>
          <w:szCs w:val="32"/>
        </w:rPr>
        <w:t>具体</w:t>
      </w:r>
      <w:r>
        <w:rPr>
          <w:rFonts w:hint="eastAsia" w:ascii="Times New Roman" w:hAnsi="Times New Roman" w:eastAsia="仿宋_GB2312" w:cs="Times New Roman"/>
          <w:sz w:val="32"/>
          <w:szCs w:val="32"/>
        </w:rPr>
        <w:t>实现机制</w:t>
      </w:r>
      <w:r>
        <w:rPr>
          <w:rFonts w:hint="default" w:ascii="Times New Roman" w:hAnsi="Times New Roman" w:eastAsia="仿宋_GB2312" w:cs="Times New Roman"/>
          <w:sz w:val="32"/>
          <w:szCs w:val="32"/>
        </w:rPr>
        <w:t>。</w:t>
      </w:r>
    </w:p>
    <w:p>
      <w:pPr>
        <w:pBdr>
          <w:top w:val="none" w:color="auto" w:sz="0" w:space="1"/>
          <w:left w:val="none" w:color="auto" w:sz="0" w:space="4"/>
          <w:bottom w:val="none" w:color="auto" w:sz="0" w:space="1"/>
          <w:right w:val="none" w:color="auto" w:sz="0" w:space="4"/>
          <w:between w:val="none" w:color="auto" w:sz="0" w:space="0"/>
        </w:pBdr>
        <w:spacing w:line="600"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val="en-US" w:eastAsia="zh-CN"/>
        </w:rPr>
        <w:t>9</w:t>
      </w:r>
      <w:r>
        <w:rPr>
          <w:rFonts w:ascii="Times New Roman" w:hAnsi="Times New Roman" w:eastAsia="楷体_GB2312" w:cs="Times New Roman"/>
          <w:b/>
          <w:sz w:val="32"/>
          <w:szCs w:val="32"/>
        </w:rPr>
        <w:t>.</w:t>
      </w:r>
      <w:r>
        <w:rPr>
          <w:rFonts w:hint="eastAsia" w:ascii="Times New Roman" w:hAnsi="Times New Roman" w:eastAsia="楷体_GB2312" w:cs="Times New Roman"/>
          <w:b/>
          <w:sz w:val="32"/>
          <w:szCs w:val="32"/>
        </w:rPr>
        <w:t>扩大</w:t>
      </w:r>
      <w:r>
        <w:rPr>
          <w:rFonts w:hint="eastAsia" w:ascii="Times New Roman" w:hAnsi="Times New Roman" w:eastAsia="楷体_GB2312" w:cs="Times New Roman"/>
          <w:b/>
          <w:sz w:val="32"/>
          <w:szCs w:val="32"/>
          <w:lang w:val="en-US" w:eastAsia="zh-CN"/>
        </w:rPr>
        <w:t>农村</w:t>
      </w:r>
      <w:r>
        <w:rPr>
          <w:rFonts w:hint="eastAsia" w:ascii="Times New Roman" w:hAnsi="Times New Roman" w:eastAsia="楷体_GB2312" w:cs="Times New Roman"/>
          <w:b/>
          <w:sz w:val="32"/>
          <w:szCs w:val="32"/>
        </w:rPr>
        <w:t>内需研究</w:t>
      </w:r>
    </w:p>
    <w:p>
      <w:pPr>
        <w:pBdr>
          <w:top w:val="none" w:color="auto" w:sz="0" w:space="1"/>
          <w:left w:val="none" w:color="auto" w:sz="0" w:space="4"/>
          <w:bottom w:val="none" w:color="auto" w:sz="0" w:space="1"/>
          <w:right w:val="none" w:color="auto" w:sz="0" w:space="4"/>
          <w:between w:val="none" w:color="auto" w:sz="0" w:space="0"/>
        </w:pBd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着眼扩大内需战略基点，充分发挥乡村作为消费市场和要素市场</w:t>
      </w:r>
      <w:r>
        <w:rPr>
          <w:rFonts w:hint="eastAsia" w:ascii="Times New Roman" w:hAnsi="Times New Roman" w:eastAsia="仿宋_GB2312" w:cs="Times New Roman"/>
          <w:sz w:val="32"/>
          <w:szCs w:val="32"/>
          <w:lang w:eastAsia="zh-CN"/>
        </w:rPr>
        <w:t>的重要</w:t>
      </w:r>
      <w:r>
        <w:rPr>
          <w:rFonts w:hint="eastAsia" w:ascii="Times New Roman" w:hAnsi="Times New Roman" w:eastAsia="仿宋_GB2312" w:cs="Times New Roman"/>
          <w:sz w:val="32"/>
          <w:szCs w:val="32"/>
        </w:rPr>
        <w:t>作用，</w:t>
      </w:r>
      <w:r>
        <w:rPr>
          <w:rFonts w:hint="eastAsia" w:ascii="Times New Roman" w:hAnsi="Times New Roman" w:eastAsia="仿宋_GB2312" w:cs="Times New Roman"/>
          <w:sz w:val="32"/>
          <w:szCs w:val="32"/>
          <w:lang w:eastAsia="zh-CN"/>
        </w:rPr>
        <w:t>从供给端、流通端、需求端多方发力，</w:t>
      </w:r>
      <w:r>
        <w:rPr>
          <w:rFonts w:hint="eastAsia" w:ascii="Times New Roman" w:hAnsi="Times New Roman" w:eastAsia="仿宋_GB2312" w:cs="Times New Roman"/>
          <w:sz w:val="32"/>
          <w:szCs w:val="32"/>
        </w:rPr>
        <w:t>研究“三农”领域促进消费、扩大投资的潜力方向、重点内容、可行路径以及操作性的工程项目、政策举措。</w:t>
      </w:r>
    </w:p>
    <w:p>
      <w:pPr>
        <w:pBdr>
          <w:top w:val="none" w:color="auto" w:sz="0" w:space="1"/>
          <w:left w:val="none" w:color="auto" w:sz="0" w:space="4"/>
          <w:bottom w:val="none" w:color="auto" w:sz="0" w:space="1"/>
          <w:right w:val="none" w:color="auto" w:sz="0" w:space="4"/>
          <w:between w:val="none" w:color="auto" w:sz="0" w:space="0"/>
        </w:pBdr>
        <w:spacing w:line="600" w:lineRule="exact"/>
        <w:ind w:firstLine="643" w:firstLineChars="200"/>
        <w:rPr>
          <w:rFonts w:ascii="Times New Roman" w:hAnsi="Times New Roman" w:eastAsia="楷体_GB2312" w:cs="Times New Roman"/>
          <w:b/>
          <w:sz w:val="32"/>
          <w:szCs w:val="32"/>
        </w:rPr>
      </w:pPr>
      <w:r>
        <w:rPr>
          <w:rFonts w:hint="default" w:ascii="Times New Roman" w:hAnsi="Times New Roman" w:eastAsia="楷体_GB2312" w:cs="Times New Roman"/>
          <w:b/>
          <w:sz w:val="32"/>
          <w:szCs w:val="32"/>
          <w:lang w:eastAsia="zh-CN"/>
        </w:rPr>
        <w:t>10</w:t>
      </w:r>
      <w:r>
        <w:rPr>
          <w:rFonts w:ascii="Times New Roman" w:hAnsi="Times New Roman" w:eastAsia="楷体_GB2312" w:cs="Times New Roman"/>
          <w:b/>
          <w:sz w:val="32"/>
          <w:szCs w:val="32"/>
        </w:rPr>
        <w:t>.</w:t>
      </w:r>
      <w:r>
        <w:rPr>
          <w:rFonts w:hint="eastAsia" w:ascii="Times New Roman" w:hAnsi="Times New Roman" w:eastAsia="楷体_GB2312" w:cs="Times New Roman"/>
          <w:b/>
          <w:sz w:val="32"/>
          <w:szCs w:val="32"/>
        </w:rPr>
        <w:t>我国人口变动趋势对农业农村发展影响研究</w:t>
      </w:r>
    </w:p>
    <w:p>
      <w:pPr>
        <w:pBdr>
          <w:top w:val="none" w:color="auto" w:sz="0" w:space="1"/>
          <w:left w:val="none" w:color="auto" w:sz="0" w:space="4"/>
          <w:bottom w:val="none" w:color="auto" w:sz="0" w:space="1"/>
          <w:right w:val="none" w:color="auto" w:sz="0" w:space="4"/>
          <w:between w:val="none" w:color="auto" w:sz="0" w:space="0"/>
        </w:pBdr>
        <w:spacing w:line="600" w:lineRule="exact"/>
        <w:ind w:firstLine="640" w:firstLineChars="20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科学</w:t>
      </w:r>
      <w:r>
        <w:rPr>
          <w:rFonts w:hint="eastAsia" w:ascii="Times New Roman" w:hAnsi="Times New Roman" w:eastAsia="仿宋_GB2312" w:cs="Times New Roman"/>
          <w:sz w:val="32"/>
          <w:szCs w:val="32"/>
        </w:rPr>
        <w:t>研判未来一个时期我国人口总量</w:t>
      </w:r>
      <w:r>
        <w:rPr>
          <w:rFonts w:hint="default" w:ascii="Times New Roman" w:hAnsi="Times New Roman" w:eastAsia="仿宋_GB2312" w:cs="Times New Roman"/>
          <w:sz w:val="32"/>
          <w:szCs w:val="32"/>
        </w:rPr>
        <w:t>、年龄</w:t>
      </w:r>
      <w:r>
        <w:rPr>
          <w:rFonts w:hint="eastAsia" w:ascii="Times New Roman" w:hAnsi="Times New Roman" w:eastAsia="仿宋_GB2312" w:cs="Times New Roman"/>
          <w:sz w:val="32"/>
          <w:szCs w:val="32"/>
        </w:rPr>
        <w:t>结构</w:t>
      </w:r>
      <w:r>
        <w:rPr>
          <w:rFonts w:hint="default" w:ascii="Times New Roman" w:hAnsi="Times New Roman" w:eastAsia="仿宋_GB2312" w:cs="Times New Roman"/>
          <w:sz w:val="32"/>
          <w:szCs w:val="32"/>
        </w:rPr>
        <w:t>、城乡结构</w:t>
      </w:r>
      <w:r>
        <w:rPr>
          <w:rFonts w:hint="eastAsia" w:ascii="Times New Roman" w:hAnsi="Times New Roman" w:eastAsia="仿宋_GB2312" w:cs="Times New Roman"/>
          <w:sz w:val="32"/>
          <w:szCs w:val="32"/>
        </w:rPr>
        <w:t>变化趋势，</w:t>
      </w:r>
      <w:r>
        <w:rPr>
          <w:rFonts w:hint="default" w:ascii="Times New Roman" w:hAnsi="Times New Roman" w:eastAsia="仿宋_GB2312" w:cs="Times New Roman"/>
          <w:sz w:val="32"/>
          <w:szCs w:val="32"/>
        </w:rPr>
        <w:t>全面</w:t>
      </w:r>
      <w:r>
        <w:rPr>
          <w:rFonts w:hint="eastAsia" w:ascii="Times New Roman" w:hAnsi="Times New Roman" w:eastAsia="仿宋_GB2312" w:cs="Times New Roman"/>
          <w:sz w:val="32"/>
          <w:szCs w:val="32"/>
        </w:rPr>
        <w:t>分析人口变动对</w:t>
      </w:r>
      <w:r>
        <w:rPr>
          <w:rFonts w:hint="default" w:ascii="Times New Roman" w:hAnsi="Times New Roman" w:eastAsia="仿宋_GB2312" w:cs="Times New Roman"/>
          <w:sz w:val="32"/>
          <w:szCs w:val="32"/>
        </w:rPr>
        <w:t>保障</w:t>
      </w:r>
      <w:r>
        <w:rPr>
          <w:rFonts w:hint="eastAsia" w:ascii="Times New Roman" w:hAnsi="Times New Roman" w:eastAsia="仿宋_GB2312" w:cs="Times New Roman"/>
          <w:sz w:val="32"/>
          <w:szCs w:val="32"/>
        </w:rPr>
        <w:t>粮食安全、</w:t>
      </w:r>
      <w:r>
        <w:rPr>
          <w:rFonts w:hint="default" w:ascii="Times New Roman" w:hAnsi="Times New Roman" w:eastAsia="仿宋_GB2312" w:cs="Times New Roman"/>
          <w:sz w:val="32"/>
          <w:szCs w:val="32"/>
        </w:rPr>
        <w:t>开展</w:t>
      </w:r>
      <w:r>
        <w:rPr>
          <w:rFonts w:hint="eastAsia" w:ascii="Times New Roman" w:hAnsi="Times New Roman" w:eastAsia="仿宋_GB2312" w:cs="Times New Roman"/>
          <w:sz w:val="32"/>
          <w:szCs w:val="32"/>
        </w:rPr>
        <w:t>乡村建设、</w:t>
      </w:r>
      <w:r>
        <w:rPr>
          <w:rFonts w:hint="default" w:ascii="Times New Roman" w:hAnsi="Times New Roman" w:eastAsia="仿宋_GB2312" w:cs="Times New Roman"/>
          <w:sz w:val="32"/>
          <w:szCs w:val="32"/>
        </w:rPr>
        <w:t>完善</w:t>
      </w:r>
      <w:r>
        <w:rPr>
          <w:rFonts w:hint="eastAsia" w:ascii="Times New Roman" w:hAnsi="Times New Roman" w:eastAsia="仿宋_GB2312" w:cs="Times New Roman"/>
          <w:sz w:val="32"/>
          <w:szCs w:val="32"/>
        </w:rPr>
        <w:t>乡村治理等领域的</w:t>
      </w:r>
      <w:r>
        <w:rPr>
          <w:rFonts w:hint="default" w:ascii="Times New Roman" w:hAnsi="Times New Roman" w:eastAsia="仿宋_GB2312" w:cs="Times New Roman"/>
          <w:sz w:val="32"/>
          <w:szCs w:val="32"/>
        </w:rPr>
        <w:t>中长期</w:t>
      </w:r>
      <w:r>
        <w:rPr>
          <w:rFonts w:hint="eastAsia" w:ascii="Times New Roman" w:hAnsi="Times New Roman" w:eastAsia="仿宋_GB2312" w:cs="Times New Roman"/>
          <w:sz w:val="32"/>
          <w:szCs w:val="32"/>
        </w:rPr>
        <w:t>影响，提出</w:t>
      </w:r>
      <w:r>
        <w:rPr>
          <w:rFonts w:hint="default" w:ascii="Times New Roman" w:hAnsi="Times New Roman" w:eastAsia="仿宋_GB2312" w:cs="Times New Roman"/>
          <w:sz w:val="32"/>
          <w:szCs w:val="32"/>
        </w:rPr>
        <w:t>前瞻性应对的思路和建议</w:t>
      </w:r>
      <w:r>
        <w:rPr>
          <w:rFonts w:hint="eastAsia" w:ascii="Times New Roman" w:hAnsi="Times New Roman" w:eastAsia="仿宋_GB2312" w:cs="Times New Roman"/>
          <w:sz w:val="32"/>
          <w:szCs w:val="32"/>
        </w:rPr>
        <w:t>。</w:t>
      </w:r>
    </w:p>
    <w:p>
      <w:pPr>
        <w:pBdr>
          <w:top w:val="none" w:color="auto" w:sz="0" w:space="1"/>
          <w:left w:val="none" w:color="auto" w:sz="0" w:space="4"/>
          <w:bottom w:val="none" w:color="auto" w:sz="0" w:space="1"/>
          <w:right w:val="none" w:color="auto" w:sz="0" w:space="4"/>
          <w:between w:val="none" w:color="auto" w:sz="0" w:space="0"/>
        </w:pBdr>
        <w:spacing w:line="600" w:lineRule="exact"/>
        <w:ind w:firstLine="640" w:firstLineChars="200"/>
        <w:rPr>
          <w:rFonts w:hint="eastAsia" w:ascii="楷体_GB2312" w:hAnsi="楷体_GB2312" w:eastAsia="楷体_GB2312" w:cs="楷体_GB2312"/>
          <w:sz w:val="32"/>
          <w:szCs w:val="32"/>
          <w:lang w:eastAsia="zh-CN"/>
        </w:rPr>
      </w:pPr>
      <w:r>
        <w:rPr>
          <w:rFonts w:hint="eastAsia" w:ascii="Times New Roman" w:hAnsi="黑体" w:eastAsia="黑体" w:cs="Times New Roman"/>
          <w:sz w:val="32"/>
          <w:szCs w:val="32"/>
        </w:rPr>
        <w:t>二、规定命题</w:t>
      </w:r>
    </w:p>
    <w:p>
      <w:pPr>
        <w:pBdr>
          <w:top w:val="none" w:color="auto" w:sz="0" w:space="1"/>
          <w:left w:val="none" w:color="auto" w:sz="0" w:space="4"/>
          <w:bottom w:val="none" w:color="auto" w:sz="0" w:space="1"/>
          <w:right w:val="none" w:color="auto" w:sz="0" w:space="4"/>
          <w:between w:val="none" w:color="auto" w:sz="0" w:space="0"/>
        </w:pBdr>
        <w:spacing w:line="600"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1</w:t>
      </w:r>
      <w:r>
        <w:rPr>
          <w:rFonts w:hint="eastAsia" w:ascii="Times New Roman" w:hAnsi="Times New Roman" w:eastAsia="楷体_GB2312" w:cs="Times New Roman"/>
          <w:b/>
          <w:sz w:val="32"/>
          <w:szCs w:val="32"/>
          <w:lang w:val="en-US" w:eastAsia="zh-CN"/>
        </w:rPr>
        <w:t>1</w:t>
      </w:r>
      <w:r>
        <w:rPr>
          <w:rFonts w:ascii="Times New Roman" w:hAnsi="Times New Roman" w:eastAsia="楷体_GB2312" w:cs="Times New Roman"/>
          <w:b/>
          <w:sz w:val="32"/>
          <w:szCs w:val="32"/>
        </w:rPr>
        <w:t>.</w:t>
      </w:r>
      <w:r>
        <w:rPr>
          <w:rFonts w:hint="eastAsia" w:ascii="Times New Roman" w:hAnsi="Times New Roman" w:eastAsia="楷体_GB2312" w:cs="Times New Roman"/>
          <w:b/>
          <w:sz w:val="32"/>
          <w:szCs w:val="32"/>
        </w:rPr>
        <w:t>构建多元化食物供给体系研究</w:t>
      </w:r>
    </w:p>
    <w:p>
      <w:pPr>
        <w:pBdr>
          <w:top w:val="none" w:color="auto" w:sz="0" w:space="1"/>
          <w:left w:val="none" w:color="auto" w:sz="0" w:space="4"/>
          <w:bottom w:val="none" w:color="auto" w:sz="0" w:space="1"/>
          <w:right w:val="none" w:color="auto" w:sz="0" w:space="4"/>
          <w:between w:val="none" w:color="auto" w:sz="0" w:space="0"/>
        </w:pBd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贯彻落实大食物观，深入分析今后一个时期我国食物消费变动趋势、供需结构矛盾，</w:t>
      </w:r>
      <w:r>
        <w:rPr>
          <w:rFonts w:hint="default" w:ascii="Times New Roman" w:hAnsi="Times New Roman" w:eastAsia="仿宋_GB2312" w:cs="Times New Roman"/>
          <w:sz w:val="32"/>
          <w:szCs w:val="32"/>
        </w:rPr>
        <w:t>围绕发展现代设施农业、推进畜牧业转型升级等重点，就加快构建粮经饲统筹、农林牧渔结合、植物动物微生物并举的多元化食物供给体系，提出可行性</w:t>
      </w:r>
      <w:r>
        <w:rPr>
          <w:rFonts w:hint="eastAsia" w:ascii="Times New Roman" w:hAnsi="Times New Roman" w:eastAsia="仿宋_GB2312" w:cs="Times New Roman"/>
          <w:sz w:val="32"/>
          <w:szCs w:val="32"/>
        </w:rPr>
        <w:t>、可操作性的政策</w:t>
      </w:r>
      <w:r>
        <w:rPr>
          <w:rFonts w:hint="default" w:ascii="Times New Roman" w:hAnsi="Times New Roman" w:eastAsia="仿宋_GB2312" w:cs="Times New Roman"/>
          <w:sz w:val="32"/>
          <w:szCs w:val="32"/>
        </w:rPr>
        <w:t>建议。</w:t>
      </w:r>
    </w:p>
    <w:p>
      <w:pPr>
        <w:pBdr>
          <w:top w:val="none" w:color="auto" w:sz="0" w:space="1"/>
          <w:left w:val="none" w:color="auto" w:sz="0" w:space="4"/>
          <w:bottom w:val="none" w:color="auto" w:sz="0" w:space="1"/>
          <w:right w:val="none" w:color="auto" w:sz="0" w:space="4"/>
          <w:between w:val="none" w:color="auto" w:sz="0" w:space="0"/>
        </w:pBdr>
        <w:spacing w:line="600"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1</w:t>
      </w:r>
      <w:r>
        <w:rPr>
          <w:rFonts w:hint="eastAsia" w:ascii="Times New Roman" w:hAnsi="Times New Roman" w:eastAsia="楷体_GB2312" w:cs="Times New Roman"/>
          <w:b/>
          <w:sz w:val="32"/>
          <w:szCs w:val="32"/>
          <w:lang w:val="en-US" w:eastAsia="zh-CN"/>
        </w:rPr>
        <w:t>2</w:t>
      </w:r>
      <w:r>
        <w:rPr>
          <w:rFonts w:ascii="Times New Roman" w:hAnsi="Times New Roman" w:eastAsia="楷体_GB2312" w:cs="Times New Roman"/>
          <w:b/>
          <w:sz w:val="32"/>
          <w:szCs w:val="32"/>
        </w:rPr>
        <w:t>.</w:t>
      </w:r>
      <w:r>
        <w:rPr>
          <w:rFonts w:hint="eastAsia" w:ascii="Times New Roman" w:hAnsi="Times New Roman" w:eastAsia="楷体_GB2312" w:cs="Times New Roman"/>
          <w:b/>
          <w:sz w:val="32"/>
          <w:szCs w:val="32"/>
        </w:rPr>
        <w:t>健全</w:t>
      </w:r>
      <w:r>
        <w:rPr>
          <w:rFonts w:ascii="Times New Roman" w:hAnsi="Times New Roman" w:eastAsia="楷体_GB2312" w:cs="Times New Roman"/>
          <w:b/>
          <w:sz w:val="32"/>
          <w:szCs w:val="32"/>
        </w:rPr>
        <w:t>种粮农民收益保障</w:t>
      </w:r>
      <w:r>
        <w:rPr>
          <w:rFonts w:hint="eastAsia" w:ascii="Times New Roman" w:hAnsi="Times New Roman" w:eastAsia="楷体_GB2312" w:cs="Times New Roman"/>
          <w:b/>
          <w:sz w:val="32"/>
          <w:szCs w:val="32"/>
          <w:lang w:eastAsia="zh-CN"/>
        </w:rPr>
        <w:t>和</w:t>
      </w:r>
      <w:r>
        <w:rPr>
          <w:rFonts w:hint="eastAsia" w:ascii="Times New Roman" w:hAnsi="Times New Roman" w:eastAsia="楷体_GB2312" w:cs="Times New Roman"/>
          <w:b/>
          <w:sz w:val="32"/>
          <w:szCs w:val="32"/>
        </w:rPr>
        <w:t>粮食主产区利益补偿机制研究</w:t>
      </w:r>
    </w:p>
    <w:p>
      <w:pPr>
        <w:pBdr>
          <w:top w:val="none" w:color="auto" w:sz="0" w:space="1"/>
          <w:left w:val="none" w:color="auto" w:sz="0" w:space="4"/>
          <w:bottom w:val="none" w:color="auto" w:sz="0" w:space="1"/>
          <w:right w:val="none" w:color="auto" w:sz="0" w:space="4"/>
          <w:between w:val="none" w:color="auto" w:sz="0" w:space="0"/>
        </w:pBd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通过</w:t>
      </w:r>
      <w:r>
        <w:rPr>
          <w:rFonts w:hint="default" w:ascii="Times New Roman" w:hAnsi="Times New Roman" w:eastAsia="仿宋_GB2312" w:cs="Times New Roman"/>
          <w:sz w:val="32"/>
          <w:szCs w:val="32"/>
        </w:rPr>
        <w:t>国际比较分析</w:t>
      </w:r>
      <w:r>
        <w:rPr>
          <w:rFonts w:hint="eastAsia" w:ascii="Times New Roman" w:hAnsi="Times New Roman" w:eastAsia="仿宋_GB2312" w:cs="Times New Roman"/>
          <w:sz w:val="32"/>
          <w:szCs w:val="32"/>
        </w:rPr>
        <w:t>和调查</w:t>
      </w:r>
      <w:r>
        <w:rPr>
          <w:rFonts w:hint="default" w:ascii="Times New Roman" w:hAnsi="Times New Roman" w:eastAsia="仿宋_GB2312" w:cs="Times New Roman"/>
          <w:sz w:val="32"/>
          <w:szCs w:val="32"/>
        </w:rPr>
        <w:t>研究</w:t>
      </w:r>
      <w:r>
        <w:rPr>
          <w:rFonts w:hint="eastAsia" w:ascii="Times New Roman" w:hAnsi="Times New Roman" w:eastAsia="仿宋_GB2312" w:cs="Times New Roman"/>
          <w:sz w:val="32"/>
          <w:szCs w:val="32"/>
        </w:rPr>
        <w:t>，梳理</w:t>
      </w:r>
      <w:r>
        <w:rPr>
          <w:rFonts w:hint="default" w:ascii="Times New Roman" w:hAnsi="Times New Roman" w:eastAsia="仿宋_GB2312" w:cs="Times New Roman"/>
          <w:sz w:val="32"/>
          <w:szCs w:val="32"/>
        </w:rPr>
        <w:t>我国种粮农民收益保障</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粮食主产区利益补偿机制存在的突出问题，剖析深层次原因，就保障种粮农民收益</w:t>
      </w:r>
      <w:r>
        <w:rPr>
          <w:rFonts w:hint="eastAsia" w:ascii="Times New Roman" w:hAnsi="Times New Roman" w:eastAsia="仿宋_GB2312" w:cs="Times New Roman"/>
          <w:sz w:val="32"/>
          <w:szCs w:val="32"/>
          <w:lang w:eastAsia="zh-CN"/>
        </w:rPr>
        <w:t>、完善</w:t>
      </w:r>
      <w:r>
        <w:rPr>
          <w:rFonts w:hint="eastAsia" w:ascii="Times New Roman" w:hAnsi="Times New Roman" w:eastAsia="仿宋_GB2312" w:cs="Times New Roman"/>
          <w:sz w:val="32"/>
          <w:szCs w:val="32"/>
        </w:rPr>
        <w:t>纵向</w:t>
      </w:r>
      <w:r>
        <w:rPr>
          <w:rFonts w:hint="eastAsia" w:ascii="Times New Roman" w:hAnsi="Times New Roman" w:eastAsia="仿宋_GB2312" w:cs="Times New Roman"/>
          <w:sz w:val="32"/>
          <w:szCs w:val="32"/>
          <w:lang w:eastAsia="zh-CN"/>
        </w:rPr>
        <w:t>利益</w:t>
      </w:r>
      <w:r>
        <w:rPr>
          <w:rFonts w:hint="eastAsia" w:ascii="Times New Roman" w:hAnsi="Times New Roman" w:eastAsia="仿宋_GB2312" w:cs="Times New Roman"/>
          <w:sz w:val="32"/>
          <w:szCs w:val="32"/>
        </w:rPr>
        <w:t>补偿机制</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探索</w:t>
      </w:r>
      <w:r>
        <w:rPr>
          <w:rFonts w:hint="eastAsia" w:ascii="Times New Roman" w:hAnsi="Times New Roman" w:eastAsia="仿宋_GB2312" w:cs="Times New Roman"/>
          <w:sz w:val="32"/>
          <w:szCs w:val="32"/>
          <w:lang w:eastAsia="zh-CN"/>
        </w:rPr>
        <w:t>建立</w:t>
      </w:r>
      <w:r>
        <w:rPr>
          <w:rFonts w:hint="eastAsia" w:ascii="Times New Roman" w:hAnsi="Times New Roman" w:eastAsia="仿宋_GB2312" w:cs="Times New Roman"/>
          <w:sz w:val="32"/>
          <w:szCs w:val="32"/>
        </w:rPr>
        <w:t>横向</w:t>
      </w:r>
      <w:r>
        <w:rPr>
          <w:rFonts w:hint="eastAsia" w:ascii="Times New Roman" w:hAnsi="Times New Roman" w:eastAsia="仿宋_GB2312" w:cs="Times New Roman"/>
          <w:sz w:val="32"/>
          <w:szCs w:val="32"/>
          <w:lang w:eastAsia="zh-CN"/>
        </w:rPr>
        <w:t>利益</w:t>
      </w:r>
      <w:r>
        <w:rPr>
          <w:rFonts w:hint="eastAsia" w:ascii="Times New Roman" w:hAnsi="Times New Roman" w:eastAsia="仿宋_GB2312" w:cs="Times New Roman"/>
          <w:sz w:val="32"/>
          <w:szCs w:val="32"/>
        </w:rPr>
        <w:t>补偿机制</w:t>
      </w:r>
      <w:r>
        <w:rPr>
          <w:rFonts w:hint="eastAsia" w:ascii="Times New Roman" w:hAnsi="Times New Roman" w:eastAsia="仿宋_GB2312" w:cs="Times New Roman"/>
          <w:sz w:val="32"/>
          <w:szCs w:val="32"/>
          <w:lang w:eastAsia="zh-CN"/>
        </w:rPr>
        <w:t>，提出</w:t>
      </w:r>
      <w:r>
        <w:rPr>
          <w:rFonts w:hint="eastAsia" w:ascii="Times New Roman" w:hAnsi="Times New Roman" w:eastAsia="仿宋_GB2312" w:cs="Times New Roman"/>
          <w:sz w:val="32"/>
          <w:szCs w:val="32"/>
        </w:rPr>
        <w:t>政策建议。</w:t>
      </w:r>
    </w:p>
    <w:p>
      <w:pPr>
        <w:pBdr>
          <w:top w:val="none" w:color="auto" w:sz="0" w:space="1"/>
          <w:left w:val="none" w:color="auto" w:sz="0" w:space="4"/>
          <w:bottom w:val="none" w:color="auto" w:sz="0" w:space="1"/>
          <w:right w:val="none" w:color="auto" w:sz="0" w:space="4"/>
          <w:between w:val="none" w:color="auto" w:sz="0" w:space="0"/>
        </w:pBdr>
        <w:spacing w:line="60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1</w:t>
      </w:r>
      <w:r>
        <w:rPr>
          <w:rFonts w:hint="eastAsia" w:ascii="Times New Roman" w:hAnsi="Times New Roman" w:eastAsia="楷体_GB2312" w:cs="Times New Roman"/>
          <w:b/>
          <w:sz w:val="32"/>
          <w:szCs w:val="32"/>
          <w:lang w:val="en-US" w:eastAsia="zh-CN"/>
        </w:rPr>
        <w:t>3</w:t>
      </w:r>
      <w:r>
        <w:rPr>
          <w:rFonts w:ascii="Times New Roman" w:hAnsi="Times New Roman" w:eastAsia="楷体_GB2312" w:cs="Times New Roman"/>
          <w:b/>
          <w:sz w:val="32"/>
          <w:szCs w:val="32"/>
        </w:rPr>
        <w:t>.提升我国粮食产业链供应链韧性和安全水平研究</w:t>
      </w:r>
    </w:p>
    <w:p>
      <w:pPr>
        <w:pBdr>
          <w:top w:val="none" w:color="auto" w:sz="0" w:space="1"/>
          <w:left w:val="none" w:color="auto" w:sz="0" w:space="4"/>
          <w:bottom w:val="none" w:color="auto" w:sz="0" w:space="1"/>
          <w:right w:val="none" w:color="auto" w:sz="0" w:space="4"/>
          <w:between w:val="none" w:color="auto" w:sz="0" w:space="0"/>
        </w:pBdr>
        <w:spacing w:line="600" w:lineRule="exact"/>
        <w:ind w:firstLine="640" w:firstLineChars="200"/>
        <w:rPr>
          <w:rFonts w:hint="eastAsia" w:ascii="Times New Roman" w:hAnsi="Times New Roman" w:eastAsia="仿宋_GB2312" w:cs="Times New Roman"/>
          <w:sz w:val="32"/>
          <w:szCs w:val="32"/>
        </w:rPr>
      </w:pPr>
      <w:r>
        <w:rPr>
          <w:rFonts w:hint="default" w:ascii="Times New Roman" w:hAnsi="Times New Roman" w:eastAsia="仿宋_GB2312" w:cs="Times New Roman"/>
          <w:b w:val="0"/>
          <w:sz w:val="32"/>
          <w:szCs w:val="32"/>
        </w:rPr>
        <w:t>立足两个大局，坚持底线思维，</w:t>
      </w:r>
      <w:r>
        <w:rPr>
          <w:rFonts w:hint="eastAsia" w:ascii="Times New Roman" w:hAnsi="Times New Roman" w:eastAsia="仿宋_GB2312" w:cs="Times New Roman"/>
          <w:b w:val="0"/>
          <w:sz w:val="32"/>
          <w:szCs w:val="32"/>
        </w:rPr>
        <w:t>深刻把握我国粮食安全内外形势变化</w:t>
      </w:r>
      <w:r>
        <w:rPr>
          <w:rFonts w:hint="default" w:ascii="Times New Roman" w:hAnsi="Times New Roman" w:eastAsia="仿宋_GB2312" w:cs="Times New Roman"/>
          <w:b w:val="0"/>
          <w:sz w:val="32"/>
          <w:szCs w:val="32"/>
        </w:rPr>
        <w:t>趋势</w:t>
      </w:r>
      <w:r>
        <w:rPr>
          <w:rFonts w:hint="eastAsia" w:ascii="Times New Roman" w:hAnsi="Times New Roman" w:eastAsia="仿宋_GB2312" w:cs="Times New Roman"/>
          <w:b w:val="0"/>
          <w:sz w:val="32"/>
          <w:szCs w:val="32"/>
        </w:rPr>
        <w:t>，全面梳理粮食产业链供应链中存在的短板和弱项，研究提出</w:t>
      </w:r>
      <w:r>
        <w:rPr>
          <w:rFonts w:hint="default" w:ascii="Times New Roman" w:hAnsi="Times New Roman" w:eastAsia="仿宋_GB2312" w:cs="Times New Roman"/>
          <w:b w:val="0"/>
          <w:sz w:val="32"/>
          <w:szCs w:val="32"/>
        </w:rPr>
        <w:t>增强</w:t>
      </w:r>
      <w:r>
        <w:rPr>
          <w:rFonts w:hint="eastAsia" w:ascii="Times New Roman" w:hAnsi="Times New Roman" w:eastAsia="仿宋_GB2312" w:cs="Times New Roman"/>
          <w:b w:val="0"/>
          <w:sz w:val="32"/>
          <w:szCs w:val="32"/>
        </w:rPr>
        <w:t>我国粮食产业链供应链</w:t>
      </w:r>
      <w:r>
        <w:rPr>
          <w:rFonts w:hint="eastAsia" w:ascii="Times New Roman" w:hAnsi="Times New Roman" w:eastAsia="仿宋_GB2312" w:cs="Times New Roman"/>
          <w:b w:val="0"/>
          <w:sz w:val="32"/>
          <w:szCs w:val="32"/>
          <w:lang w:eastAsia="zh-CN"/>
        </w:rPr>
        <w:t>韧性</w:t>
      </w:r>
      <w:r>
        <w:rPr>
          <w:rFonts w:hint="eastAsia" w:ascii="Times New Roman" w:hAnsi="Times New Roman" w:eastAsia="仿宋_GB2312" w:cs="Times New Roman"/>
          <w:b w:val="0"/>
          <w:sz w:val="32"/>
          <w:szCs w:val="32"/>
        </w:rPr>
        <w:t>的目标任务</w:t>
      </w:r>
      <w:r>
        <w:rPr>
          <w:rFonts w:hint="default" w:ascii="Times New Roman" w:hAnsi="Times New Roman" w:eastAsia="仿宋_GB2312" w:cs="Times New Roman"/>
          <w:b w:val="0"/>
          <w:sz w:val="32"/>
          <w:szCs w:val="32"/>
        </w:rPr>
        <w:t>和政策</w:t>
      </w:r>
      <w:r>
        <w:rPr>
          <w:rFonts w:hint="eastAsia" w:ascii="Times New Roman" w:hAnsi="Times New Roman" w:eastAsia="仿宋_GB2312" w:cs="Times New Roman"/>
          <w:b w:val="0"/>
          <w:sz w:val="32"/>
          <w:szCs w:val="32"/>
        </w:rPr>
        <w:t>举措。</w:t>
      </w:r>
    </w:p>
    <w:p>
      <w:pPr>
        <w:pBdr>
          <w:top w:val="none" w:color="auto" w:sz="0" w:space="1"/>
          <w:left w:val="none" w:color="auto" w:sz="0" w:space="4"/>
          <w:bottom w:val="none" w:color="auto" w:sz="0" w:space="1"/>
          <w:right w:val="none" w:color="auto" w:sz="0" w:space="4"/>
          <w:between w:val="none" w:color="auto" w:sz="0" w:space="0"/>
        </w:pBdr>
        <w:spacing w:line="60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1</w:t>
      </w:r>
      <w:r>
        <w:rPr>
          <w:rFonts w:hint="eastAsia" w:ascii="Times New Roman" w:hAnsi="Times New Roman" w:eastAsia="楷体_GB2312" w:cs="Times New Roman"/>
          <w:b/>
          <w:sz w:val="32"/>
          <w:szCs w:val="32"/>
          <w:lang w:val="en-US" w:eastAsia="zh-CN"/>
        </w:rPr>
        <w:t>4</w:t>
      </w:r>
      <w:r>
        <w:rPr>
          <w:rFonts w:ascii="Times New Roman" w:hAnsi="Times New Roman" w:eastAsia="楷体_GB2312" w:cs="Times New Roman"/>
          <w:b/>
          <w:sz w:val="32"/>
          <w:szCs w:val="32"/>
        </w:rPr>
        <w:t>.</w:t>
      </w:r>
      <w:r>
        <w:rPr>
          <w:rFonts w:hint="eastAsia" w:ascii="Times New Roman" w:hAnsi="Times New Roman" w:eastAsia="楷体_GB2312" w:cs="Times New Roman"/>
          <w:b/>
          <w:sz w:val="32"/>
          <w:szCs w:val="32"/>
        </w:rPr>
        <w:t>大豆油料产能提升长效政策研究</w:t>
      </w:r>
    </w:p>
    <w:p>
      <w:pPr>
        <w:pBdr>
          <w:top w:val="none" w:color="auto" w:sz="0" w:space="1"/>
          <w:left w:val="none" w:color="auto" w:sz="0" w:space="4"/>
          <w:bottom w:val="none" w:color="auto" w:sz="0" w:space="1"/>
          <w:right w:val="none" w:color="auto" w:sz="0" w:space="4"/>
          <w:between w:val="none" w:color="auto" w:sz="0" w:space="0"/>
        </w:pBd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对照</w:t>
      </w:r>
      <w:r>
        <w:rPr>
          <w:rFonts w:hint="eastAsia" w:ascii="Times New Roman" w:hAnsi="Times New Roman" w:eastAsia="仿宋_GB2312" w:cs="Times New Roman"/>
          <w:sz w:val="32"/>
          <w:szCs w:val="32"/>
        </w:rPr>
        <w:t>大豆油料</w:t>
      </w:r>
      <w:r>
        <w:rPr>
          <w:rFonts w:hint="eastAsia" w:ascii="Times New Roman" w:hAnsi="Times New Roman" w:eastAsia="仿宋_GB2312" w:cs="Times New Roman"/>
          <w:sz w:val="32"/>
          <w:szCs w:val="32"/>
          <w:lang w:eastAsia="zh-CN"/>
        </w:rPr>
        <w:t>产能提升目标</w:t>
      </w:r>
      <w:r>
        <w:rPr>
          <w:rFonts w:hint="eastAsia" w:ascii="Times New Roman" w:hAnsi="Times New Roman" w:eastAsia="仿宋_GB2312" w:cs="Times New Roman"/>
          <w:sz w:val="32"/>
          <w:szCs w:val="32"/>
        </w:rPr>
        <w:t>任务，深入分析大豆油料扩种后续销售、加工等面临的问题</w:t>
      </w:r>
      <w:r>
        <w:rPr>
          <w:rFonts w:hint="eastAsia" w:ascii="Times New Roman" w:hAnsi="Times New Roman" w:eastAsia="仿宋_GB2312" w:cs="Times New Roman"/>
          <w:sz w:val="32"/>
          <w:szCs w:val="32"/>
          <w:lang w:eastAsia="zh-CN"/>
        </w:rPr>
        <w:t>及制约瓶颈</w:t>
      </w:r>
      <w:r>
        <w:rPr>
          <w:rFonts w:hint="eastAsia" w:ascii="Times New Roman" w:hAnsi="Times New Roman" w:eastAsia="仿宋_GB2312" w:cs="Times New Roman"/>
          <w:sz w:val="32"/>
          <w:szCs w:val="32"/>
        </w:rPr>
        <w:t>，从</w:t>
      </w:r>
      <w:r>
        <w:rPr>
          <w:rFonts w:hint="eastAsia" w:ascii="Times New Roman" w:hAnsi="Times New Roman" w:eastAsia="仿宋_GB2312" w:cs="Times New Roman"/>
          <w:sz w:val="32"/>
          <w:szCs w:val="32"/>
          <w:lang w:val="en-US" w:eastAsia="zh-CN"/>
        </w:rPr>
        <w:t>品种培育</w:t>
      </w:r>
      <w:r>
        <w:rPr>
          <w:rFonts w:hint="eastAsia" w:ascii="Times New Roman" w:hAnsi="Times New Roman" w:eastAsia="仿宋_GB2312" w:cs="Times New Roman"/>
          <w:sz w:val="32"/>
          <w:szCs w:val="32"/>
        </w:rPr>
        <w:t>、经营方式、加工路线、收储制度、</w:t>
      </w:r>
      <w:r>
        <w:rPr>
          <w:rFonts w:hint="eastAsia" w:ascii="Times New Roman" w:hAnsi="Times New Roman" w:eastAsia="仿宋_GB2312" w:cs="Times New Roman"/>
          <w:sz w:val="32"/>
          <w:szCs w:val="32"/>
          <w:lang w:eastAsia="zh-CN"/>
        </w:rPr>
        <w:t>消费</w:t>
      </w:r>
      <w:r>
        <w:rPr>
          <w:rFonts w:hint="default" w:ascii="Times New Roman" w:hAnsi="Times New Roman" w:eastAsia="仿宋_GB2312" w:cs="Times New Roman"/>
          <w:sz w:val="32"/>
          <w:szCs w:val="32"/>
          <w:lang w:eastAsia="zh-CN"/>
        </w:rPr>
        <w:t>节约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品种替代、</w:t>
      </w:r>
      <w:r>
        <w:rPr>
          <w:rFonts w:hint="eastAsia" w:ascii="Times New Roman" w:hAnsi="Times New Roman" w:eastAsia="仿宋_GB2312" w:cs="Times New Roman"/>
          <w:sz w:val="32"/>
          <w:szCs w:val="32"/>
        </w:rPr>
        <w:t>贸易</w:t>
      </w:r>
      <w:r>
        <w:rPr>
          <w:rFonts w:hint="default" w:ascii="Times New Roman" w:hAnsi="Times New Roman" w:eastAsia="仿宋_GB2312" w:cs="Times New Roman"/>
          <w:sz w:val="32"/>
          <w:szCs w:val="32"/>
        </w:rPr>
        <w:t>调节</w:t>
      </w:r>
      <w:r>
        <w:rPr>
          <w:rFonts w:hint="eastAsia" w:ascii="Times New Roman" w:hAnsi="Times New Roman" w:eastAsia="仿宋_GB2312" w:cs="Times New Roman"/>
          <w:sz w:val="32"/>
          <w:szCs w:val="32"/>
          <w:lang w:eastAsia="zh-CN"/>
        </w:rPr>
        <w:t>、金融保险</w:t>
      </w:r>
      <w:r>
        <w:rPr>
          <w:rFonts w:hint="eastAsia" w:ascii="Times New Roman" w:hAnsi="Times New Roman" w:eastAsia="仿宋_GB2312" w:cs="Times New Roman"/>
          <w:sz w:val="32"/>
          <w:szCs w:val="32"/>
        </w:rPr>
        <w:t>等方面提出一揽子政策建议。</w:t>
      </w:r>
    </w:p>
    <w:p>
      <w:pPr>
        <w:keepNext w:val="0"/>
        <w:keepLines w:val="0"/>
        <w:pageBreakBefore w:val="0"/>
        <w:widowControl w:val="0"/>
        <w:numPr>
          <w:ilvl w:val="-1"/>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楷体_GB2312" w:cs="Times New Roman"/>
          <w:b/>
          <w:bCs w:val="0"/>
          <w:sz w:val="32"/>
          <w:szCs w:val="32"/>
        </w:rPr>
      </w:pPr>
      <w:r>
        <w:rPr>
          <w:rFonts w:hint="default" w:ascii="Times New Roman" w:hAnsi="Times New Roman" w:eastAsia="楷体_GB2312" w:cs="Times New Roman"/>
          <w:b/>
          <w:bCs w:val="0"/>
          <w:sz w:val="32"/>
          <w:szCs w:val="32"/>
        </w:rPr>
        <w:t>1</w:t>
      </w:r>
      <w:r>
        <w:rPr>
          <w:rFonts w:hint="eastAsia" w:ascii="Times New Roman" w:hAnsi="Times New Roman" w:eastAsia="楷体_GB2312" w:cs="Times New Roman"/>
          <w:b/>
          <w:bCs w:val="0"/>
          <w:sz w:val="32"/>
          <w:szCs w:val="32"/>
          <w:lang w:val="en-US" w:eastAsia="zh-CN"/>
        </w:rPr>
        <w:t>5</w:t>
      </w:r>
      <w:r>
        <w:rPr>
          <w:rFonts w:hint="default" w:ascii="Times New Roman" w:hAnsi="Times New Roman" w:eastAsia="楷体_GB2312" w:cs="Times New Roman"/>
          <w:b/>
          <w:bCs w:val="0"/>
          <w:sz w:val="32"/>
          <w:szCs w:val="32"/>
        </w:rPr>
        <w:t>.巩固易地搬迁脱贫成果研究</w:t>
      </w:r>
    </w:p>
    <w:p>
      <w:pPr>
        <w:keepNext w:val="0"/>
        <w:keepLines w:val="0"/>
        <w:pageBreakBefore w:val="0"/>
        <w:widowControl w:val="0"/>
        <w:numPr>
          <w:ilvl w:val="-1"/>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基于理论分析、政策梳理和实地调研</w:t>
      </w:r>
      <w:r>
        <w:rPr>
          <w:rFonts w:hint="eastAsia" w:ascii="仿宋_GB2312" w:hAnsi="仿宋_GB2312" w:eastAsia="仿宋_GB2312" w:cs="仿宋_GB2312"/>
          <w:sz w:val="32"/>
          <w:szCs w:val="32"/>
        </w:rPr>
        <w:t>，全面</w:t>
      </w:r>
      <w:r>
        <w:rPr>
          <w:rFonts w:hint="default" w:ascii="仿宋_GB2312" w:hAnsi="仿宋_GB2312" w:eastAsia="仿宋_GB2312" w:cs="仿宋_GB2312"/>
          <w:sz w:val="32"/>
          <w:szCs w:val="32"/>
        </w:rPr>
        <w:t>分析</w:t>
      </w:r>
      <w:r>
        <w:rPr>
          <w:rFonts w:hint="eastAsia" w:ascii="仿宋_GB2312" w:hAnsi="仿宋_GB2312" w:eastAsia="仿宋_GB2312" w:cs="仿宋_GB2312"/>
          <w:sz w:val="32"/>
          <w:szCs w:val="32"/>
        </w:rPr>
        <w:t>搬迁群众生产生活</w:t>
      </w:r>
      <w:r>
        <w:rPr>
          <w:rFonts w:hint="default" w:ascii="仿宋_GB2312" w:hAnsi="仿宋_GB2312" w:eastAsia="仿宋_GB2312" w:cs="仿宋_GB2312"/>
          <w:sz w:val="32"/>
          <w:szCs w:val="32"/>
        </w:rPr>
        <w:t>现状，</w:t>
      </w:r>
      <w:r>
        <w:rPr>
          <w:rFonts w:hint="eastAsia" w:ascii="仿宋_GB2312" w:hAnsi="仿宋_GB2312" w:eastAsia="仿宋_GB2312" w:cs="仿宋_GB2312"/>
          <w:sz w:val="32"/>
          <w:szCs w:val="32"/>
        </w:rPr>
        <w:t>聚焦产业、就业、配套设施和公共服务、社区治理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社会</w:t>
      </w:r>
      <w:r>
        <w:rPr>
          <w:rFonts w:hint="eastAsia" w:ascii="仿宋_GB2312" w:hAnsi="仿宋_GB2312" w:eastAsia="仿宋_GB2312" w:cs="仿宋_GB2312"/>
          <w:sz w:val="32"/>
          <w:szCs w:val="32"/>
          <w:lang w:eastAsia="zh-CN"/>
        </w:rPr>
        <w:t>心态</w:t>
      </w:r>
      <w:r>
        <w:rPr>
          <w:rFonts w:hint="eastAsia" w:ascii="仿宋_GB2312" w:hAnsi="仿宋_GB2312" w:eastAsia="仿宋_GB2312" w:cs="仿宋_GB2312"/>
          <w:sz w:val="32"/>
          <w:szCs w:val="32"/>
        </w:rPr>
        <w:t>等，设计提出能使易地搬迁群众稳得住、能融入、逐步能致富的努力方向、政策体系与实招硬招。</w:t>
      </w:r>
    </w:p>
    <w:p>
      <w:pPr>
        <w:keepNext w:val="0"/>
        <w:keepLines w:val="0"/>
        <w:pageBreakBefore w:val="0"/>
        <w:widowControl w:val="0"/>
        <w:numPr>
          <w:ilvl w:val="-1"/>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楷体_GB2312" w:cs="Times New Roman"/>
          <w:b/>
          <w:bCs w:val="0"/>
          <w:sz w:val="32"/>
          <w:szCs w:val="32"/>
        </w:rPr>
      </w:pPr>
      <w:r>
        <w:rPr>
          <w:rFonts w:hint="default" w:ascii="Times New Roman" w:hAnsi="Times New Roman" w:eastAsia="楷体_GB2312" w:cs="Times New Roman"/>
          <w:b/>
          <w:bCs w:val="0"/>
          <w:sz w:val="32"/>
          <w:szCs w:val="32"/>
        </w:rPr>
        <w:t>1</w:t>
      </w:r>
      <w:r>
        <w:rPr>
          <w:rFonts w:hint="eastAsia" w:ascii="Times New Roman" w:hAnsi="Times New Roman" w:eastAsia="楷体_GB2312" w:cs="Times New Roman"/>
          <w:b/>
          <w:bCs w:val="0"/>
          <w:sz w:val="32"/>
          <w:szCs w:val="32"/>
          <w:lang w:val="en-US" w:eastAsia="zh-CN"/>
        </w:rPr>
        <w:t>6</w:t>
      </w:r>
      <w:r>
        <w:rPr>
          <w:rFonts w:hint="default" w:ascii="Times New Roman" w:hAnsi="Times New Roman" w:eastAsia="楷体_GB2312" w:cs="Times New Roman"/>
          <w:b/>
          <w:bCs w:val="0"/>
          <w:sz w:val="32"/>
          <w:szCs w:val="32"/>
        </w:rPr>
        <w:t>.增强乡村振兴重点帮扶县发展能力研究</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600" w:lineRule="exact"/>
        <w:ind w:firstLine="640" w:firstLineChars="200"/>
        <w:textAlignment w:val="auto"/>
        <w:outlineLvl w:val="9"/>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在政策梳理和</w:t>
      </w:r>
      <w:r>
        <w:rPr>
          <w:rFonts w:hint="default" w:ascii="仿宋_GB2312" w:hAnsi="仿宋_GB2312" w:eastAsia="仿宋_GB2312" w:cs="仿宋_GB2312"/>
          <w:sz w:val="32"/>
          <w:szCs w:val="32"/>
          <w:lang w:eastAsia="zh-CN"/>
        </w:rPr>
        <w:t>深入调研</w:t>
      </w:r>
      <w:r>
        <w:rPr>
          <w:rFonts w:hint="eastAsia" w:ascii="仿宋_GB2312" w:hAnsi="仿宋_GB2312" w:eastAsia="仿宋_GB2312" w:cs="仿宋_GB2312"/>
          <w:sz w:val="32"/>
          <w:szCs w:val="32"/>
        </w:rPr>
        <w:t>的基础上，评价国家乡村振兴重点帮扶县发展成效</w:t>
      </w:r>
      <w:r>
        <w:rPr>
          <w:rFonts w:hint="eastAsia" w:ascii="仿宋_GB2312" w:hAnsi="仿宋_GB2312" w:eastAsia="仿宋_GB2312" w:cs="仿宋_GB2312"/>
          <w:sz w:val="32"/>
          <w:szCs w:val="32"/>
          <w:lang w:eastAsia="zh-CN"/>
        </w:rPr>
        <w:t>和存在问题</w:t>
      </w:r>
      <w:r>
        <w:rPr>
          <w:rFonts w:hint="eastAsia" w:ascii="仿宋_GB2312" w:hAnsi="仿宋_GB2312" w:eastAsia="仿宋_GB2312" w:cs="仿宋_GB2312"/>
          <w:sz w:val="32"/>
          <w:szCs w:val="32"/>
        </w:rPr>
        <w:t>，研究</w:t>
      </w:r>
      <w:r>
        <w:rPr>
          <w:rFonts w:hint="default" w:ascii="仿宋_GB2312" w:hAnsi="仿宋_GB2312" w:eastAsia="仿宋_GB2312" w:cs="仿宋_GB2312"/>
          <w:sz w:val="32"/>
          <w:szCs w:val="32"/>
        </w:rPr>
        <w:t>提出</w:t>
      </w:r>
      <w:r>
        <w:rPr>
          <w:rFonts w:hint="eastAsia" w:ascii="仿宋_GB2312" w:hAnsi="仿宋_GB2312" w:eastAsia="仿宋_GB2312" w:cs="仿宋_GB2312"/>
          <w:sz w:val="32"/>
          <w:szCs w:val="32"/>
        </w:rPr>
        <w:t>改善国家乡村振兴重点帮扶县发展条件、提升发展能力的基本思路与实现路径，作出</w:t>
      </w:r>
      <w:r>
        <w:rPr>
          <w:rFonts w:hint="eastAsia" w:ascii="仿宋_GB2312" w:hAnsi="仿宋_GB2312" w:eastAsia="仿宋_GB2312" w:cs="仿宋_GB2312"/>
          <w:sz w:val="32"/>
          <w:szCs w:val="32"/>
          <w:lang w:eastAsia="zh-CN"/>
        </w:rPr>
        <w:t>前瞻</w:t>
      </w:r>
      <w:r>
        <w:rPr>
          <w:rFonts w:hint="eastAsia" w:ascii="仿宋_GB2312" w:hAnsi="仿宋_GB2312" w:eastAsia="仿宋_GB2312" w:cs="仿宋_GB2312"/>
          <w:sz w:val="32"/>
          <w:szCs w:val="32"/>
        </w:rPr>
        <w:t>性、可操作性的政策体系设计</w:t>
      </w:r>
      <w:r>
        <w:rPr>
          <w:rFonts w:hint="default" w:ascii="仿宋_GB2312" w:hAnsi="仿宋_GB2312" w:eastAsia="仿宋_GB2312" w:cs="仿宋_GB2312"/>
          <w:sz w:val="32"/>
          <w:szCs w:val="32"/>
        </w:rPr>
        <w:t>。</w:t>
      </w:r>
    </w:p>
    <w:p>
      <w:pPr>
        <w:keepNext w:val="0"/>
        <w:keepLines w:val="0"/>
        <w:pageBreakBefore w:val="0"/>
        <w:widowControl w:val="0"/>
        <w:numPr>
          <w:ilvl w:val="-1"/>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1</w:t>
      </w:r>
      <w:r>
        <w:rPr>
          <w:rFonts w:hint="eastAsia" w:ascii="Times New Roman" w:hAnsi="Times New Roman" w:eastAsia="楷体_GB2312" w:cs="Times New Roman"/>
          <w:b/>
          <w:sz w:val="32"/>
          <w:szCs w:val="32"/>
          <w:lang w:eastAsia="zh-CN"/>
        </w:rPr>
        <w:t>7</w:t>
      </w:r>
      <w:r>
        <w:rPr>
          <w:rFonts w:hint="default" w:ascii="Times New Roman" w:hAnsi="Times New Roman" w:eastAsia="楷体_GB2312" w:cs="Times New Roman"/>
          <w:b/>
          <w:sz w:val="32"/>
          <w:szCs w:val="32"/>
        </w:rPr>
        <w:t>.中国特色适度规模经营研究</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60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立足小农数量众多的基本国情农情，围绕完善双层经营体制、发展社会化服务、培育新型农业经营主体、推动小农户与现代农业发展有机衔接，归纳提出中国特色适度规模经营的内涵外延和实现路径，提出政策建议。</w:t>
      </w:r>
    </w:p>
    <w:p>
      <w:pPr>
        <w:pBdr>
          <w:top w:val="none" w:color="auto" w:sz="0" w:space="1"/>
          <w:left w:val="none" w:color="auto" w:sz="0" w:space="4"/>
          <w:bottom w:val="none" w:color="auto" w:sz="0" w:space="1"/>
          <w:right w:val="none" w:color="auto" w:sz="0" w:space="4"/>
          <w:between w:val="none" w:color="auto" w:sz="0" w:space="0"/>
        </w:pBdr>
        <w:spacing w:line="600" w:lineRule="exact"/>
        <w:ind w:firstLine="643" w:firstLineChars="200"/>
        <w:rPr>
          <w:rFonts w:hint="eastAsia" w:ascii="Times New Roman" w:hAnsi="Times New Roman" w:eastAsia="楷体_GB2312" w:cs="Times New Roman"/>
          <w:b/>
          <w:sz w:val="32"/>
          <w:szCs w:val="32"/>
        </w:rPr>
      </w:pPr>
      <w:r>
        <w:rPr>
          <w:rFonts w:hint="default" w:ascii="Times New Roman" w:hAnsi="Times New Roman" w:eastAsia="楷体_GB2312" w:cs="Times New Roman"/>
          <w:b/>
          <w:sz w:val="32"/>
          <w:szCs w:val="32"/>
          <w:lang w:eastAsia="zh-CN"/>
        </w:rPr>
        <w:t>1</w:t>
      </w:r>
      <w:r>
        <w:rPr>
          <w:rFonts w:hint="eastAsia" w:ascii="Times New Roman" w:hAnsi="Times New Roman" w:eastAsia="楷体_GB2312" w:cs="Times New Roman"/>
          <w:b/>
          <w:sz w:val="32"/>
          <w:szCs w:val="32"/>
          <w:lang w:val="en-US" w:eastAsia="zh-CN"/>
        </w:rPr>
        <w:t>8</w:t>
      </w:r>
      <w:r>
        <w:rPr>
          <w:rFonts w:hint="eastAsia" w:ascii="Times New Roman" w:hAnsi="Times New Roman" w:eastAsia="楷体_GB2312" w:cs="Times New Roman"/>
          <w:b/>
          <w:sz w:val="32"/>
          <w:szCs w:val="32"/>
        </w:rPr>
        <w:t>.</w:t>
      </w:r>
      <w:r>
        <w:rPr>
          <w:rFonts w:hint="eastAsia" w:ascii="Times New Roman" w:hAnsi="Times New Roman" w:eastAsia="楷体_GB2312" w:cs="Times New Roman"/>
          <w:b/>
          <w:sz w:val="32"/>
          <w:szCs w:val="32"/>
          <w:lang w:eastAsia="zh-CN"/>
        </w:rPr>
        <w:t>围绕“</w:t>
      </w:r>
      <w:r>
        <w:rPr>
          <w:rFonts w:hint="eastAsia" w:ascii="Times New Roman" w:hAnsi="Times New Roman" w:eastAsia="楷体_GB2312" w:cs="Times New Roman"/>
          <w:b/>
          <w:sz w:val="32"/>
          <w:szCs w:val="32"/>
        </w:rPr>
        <w:t>土特产</w:t>
      </w:r>
      <w:r>
        <w:rPr>
          <w:rFonts w:hint="eastAsia" w:ascii="Times New Roman" w:hAnsi="Times New Roman" w:eastAsia="楷体_GB2312" w:cs="Times New Roman"/>
          <w:b/>
          <w:sz w:val="32"/>
          <w:szCs w:val="32"/>
          <w:lang w:eastAsia="zh-CN"/>
        </w:rPr>
        <w:t>”发展</w:t>
      </w:r>
      <w:r>
        <w:rPr>
          <w:rFonts w:hint="eastAsia" w:ascii="Times New Roman" w:hAnsi="Times New Roman" w:eastAsia="楷体_GB2312" w:cs="Times New Roman"/>
          <w:b/>
          <w:sz w:val="32"/>
          <w:szCs w:val="32"/>
        </w:rPr>
        <w:t>乡村</w:t>
      </w:r>
      <w:r>
        <w:rPr>
          <w:rFonts w:hint="eastAsia" w:ascii="Times New Roman" w:hAnsi="Times New Roman" w:eastAsia="楷体_GB2312" w:cs="Times New Roman"/>
          <w:b/>
          <w:sz w:val="32"/>
          <w:szCs w:val="32"/>
          <w:lang w:val="en-US" w:eastAsia="zh-CN"/>
        </w:rPr>
        <w:t>特色</w:t>
      </w:r>
      <w:r>
        <w:rPr>
          <w:rFonts w:hint="eastAsia" w:ascii="Times New Roman" w:hAnsi="Times New Roman" w:eastAsia="楷体_GB2312" w:cs="Times New Roman"/>
          <w:b/>
          <w:sz w:val="32"/>
          <w:szCs w:val="32"/>
        </w:rPr>
        <w:t>产业研究</w:t>
      </w:r>
    </w:p>
    <w:p>
      <w:pPr>
        <w:pBdr>
          <w:top w:val="none" w:color="auto" w:sz="0" w:space="1"/>
          <w:left w:val="none" w:color="auto" w:sz="0" w:space="4"/>
          <w:bottom w:val="none" w:color="auto" w:sz="0" w:space="1"/>
          <w:right w:val="none" w:color="auto" w:sz="0" w:space="4"/>
          <w:between w:val="none" w:color="auto" w:sz="0" w:space="0"/>
        </w:pBdr>
        <w:spacing w:line="60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b w:val="0"/>
          <w:sz w:val="32"/>
          <w:szCs w:val="32"/>
          <w:lang w:eastAsia="zh-CN"/>
        </w:rPr>
        <w:t>紧扣“</w:t>
      </w:r>
      <w:r>
        <w:rPr>
          <w:rFonts w:hint="eastAsia" w:ascii="Times New Roman" w:hAnsi="Times New Roman" w:eastAsia="仿宋_GB2312" w:cs="Times New Roman"/>
          <w:b w:val="0"/>
          <w:sz w:val="32"/>
          <w:szCs w:val="32"/>
        </w:rPr>
        <w:t>土</w:t>
      </w:r>
      <w:r>
        <w:rPr>
          <w:rFonts w:hint="default" w:ascii="Times New Roman" w:hAnsi="Times New Roman" w:eastAsia="仿宋_GB2312" w:cs="Times New Roman"/>
          <w:b w:val="0"/>
          <w:sz w:val="32"/>
          <w:szCs w:val="32"/>
        </w:rPr>
        <w:t>、</w:t>
      </w:r>
      <w:r>
        <w:rPr>
          <w:rFonts w:hint="eastAsia" w:ascii="Times New Roman" w:hAnsi="Times New Roman" w:eastAsia="仿宋_GB2312" w:cs="Times New Roman"/>
          <w:b w:val="0"/>
          <w:sz w:val="32"/>
          <w:szCs w:val="32"/>
        </w:rPr>
        <w:t>特</w:t>
      </w:r>
      <w:r>
        <w:rPr>
          <w:rFonts w:hint="default" w:ascii="Times New Roman" w:hAnsi="Times New Roman" w:eastAsia="仿宋_GB2312" w:cs="Times New Roman"/>
          <w:b w:val="0"/>
          <w:sz w:val="32"/>
          <w:szCs w:val="32"/>
        </w:rPr>
        <w:t>、</w:t>
      </w:r>
      <w:r>
        <w:rPr>
          <w:rFonts w:hint="eastAsia" w:ascii="Times New Roman" w:hAnsi="Times New Roman" w:eastAsia="仿宋_GB2312" w:cs="Times New Roman"/>
          <w:b w:val="0"/>
          <w:sz w:val="32"/>
          <w:szCs w:val="32"/>
        </w:rPr>
        <w:t>产</w:t>
      </w:r>
      <w:r>
        <w:rPr>
          <w:rFonts w:hint="eastAsia" w:ascii="Times New Roman" w:hAnsi="Times New Roman" w:eastAsia="仿宋_GB2312" w:cs="Times New Roman"/>
          <w:b w:val="0"/>
          <w:sz w:val="32"/>
          <w:szCs w:val="32"/>
          <w:lang w:eastAsia="zh-CN"/>
        </w:rPr>
        <w:t>”要求，</w:t>
      </w:r>
      <w:r>
        <w:rPr>
          <w:rFonts w:hint="eastAsia" w:ascii="Times New Roman" w:hAnsi="Times New Roman" w:eastAsia="仿宋_GB2312" w:cs="Times New Roman"/>
          <w:sz w:val="32"/>
          <w:szCs w:val="32"/>
          <w:lang w:eastAsia="zh-CN"/>
        </w:rPr>
        <w:t>着眼开发乡土资源、突出地域特点、打造产业集群</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在充分调研的基础上，研究提出推动乡村产业全链条升级、增强市场竞争力和可持续发展能力</w:t>
      </w:r>
      <w:r>
        <w:rPr>
          <w:rFonts w:hint="default" w:ascii="Times New Roman" w:hAnsi="Times New Roman" w:eastAsia="仿宋_GB2312" w:cs="Times New Roman"/>
          <w:sz w:val="32"/>
          <w:szCs w:val="32"/>
          <w:lang w:eastAsia="zh-CN"/>
        </w:rPr>
        <w:t>、健全联农带农</w:t>
      </w:r>
      <w:r>
        <w:rPr>
          <w:rFonts w:hint="eastAsia" w:ascii="Times New Roman" w:hAnsi="Times New Roman" w:eastAsia="仿宋_GB2312" w:cs="Times New Roman"/>
          <w:sz w:val="32"/>
          <w:szCs w:val="32"/>
          <w:lang w:eastAsia="zh-CN"/>
        </w:rPr>
        <w:t>益农</w:t>
      </w:r>
      <w:r>
        <w:rPr>
          <w:rFonts w:hint="default" w:ascii="Times New Roman" w:hAnsi="Times New Roman" w:eastAsia="仿宋_GB2312" w:cs="Times New Roman"/>
          <w:sz w:val="32"/>
          <w:szCs w:val="32"/>
          <w:lang w:eastAsia="zh-CN"/>
        </w:rPr>
        <w:t>机制</w:t>
      </w:r>
      <w:r>
        <w:rPr>
          <w:rFonts w:hint="eastAsia" w:ascii="Times New Roman" w:hAnsi="Times New Roman" w:eastAsia="仿宋_GB2312" w:cs="Times New Roman"/>
          <w:sz w:val="32"/>
          <w:szCs w:val="32"/>
          <w:lang w:eastAsia="zh-CN"/>
        </w:rPr>
        <w:t>的政策建议。</w:t>
      </w:r>
    </w:p>
    <w:p>
      <w:pPr>
        <w:numPr>
          <w:ilvl w:val="0"/>
          <w:numId w:val="0"/>
        </w:numPr>
        <w:pBdr>
          <w:top w:val="none" w:color="auto" w:sz="0" w:space="1"/>
          <w:left w:val="none" w:color="auto" w:sz="0" w:space="4"/>
          <w:bottom w:val="none" w:color="auto" w:sz="0" w:space="1"/>
          <w:right w:val="none" w:color="auto" w:sz="0" w:space="4"/>
          <w:between w:val="none" w:color="auto" w:sz="0" w:space="0"/>
        </w:pBdr>
        <w:spacing w:line="600" w:lineRule="exact"/>
        <w:ind w:firstLine="643" w:firstLineChars="200"/>
        <w:rPr>
          <w:rFonts w:hint="default" w:ascii="Times New Roman" w:hAnsi="Times New Roman" w:eastAsia="楷体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19</w:t>
      </w:r>
      <w:r>
        <w:rPr>
          <w:rFonts w:hint="default" w:ascii="Times New Roman" w:hAnsi="Times New Roman" w:eastAsia="楷体_GB2312" w:cs="Times New Roman"/>
          <w:b/>
          <w:bCs/>
          <w:sz w:val="32"/>
          <w:szCs w:val="32"/>
          <w:lang w:val="en-US" w:eastAsia="zh-CN"/>
        </w:rPr>
        <w:t>.草原畜牧业转型升级研究</w:t>
      </w:r>
    </w:p>
    <w:p>
      <w:pPr>
        <w:numPr>
          <w:ilvl w:val="0"/>
          <w:numId w:val="0"/>
        </w:numPr>
        <w:pBdr>
          <w:top w:val="none" w:color="auto" w:sz="0" w:space="1"/>
          <w:left w:val="none" w:color="auto" w:sz="0" w:space="4"/>
          <w:bottom w:val="none" w:color="auto" w:sz="0" w:space="1"/>
          <w:right w:val="none" w:color="auto" w:sz="0" w:space="4"/>
          <w:between w:val="none" w:color="auto" w:sz="0" w:space="0"/>
        </w:pBdr>
        <w:spacing w:line="60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围绕合理利用草地资源、</w:t>
      </w:r>
      <w:r>
        <w:rPr>
          <w:rFonts w:hint="default" w:ascii="Times New Roman" w:hAnsi="Times New Roman" w:eastAsia="仿宋_GB2312" w:cs="Times New Roman"/>
          <w:sz w:val="32"/>
          <w:szCs w:val="32"/>
          <w:lang w:eastAsia="zh-CN"/>
        </w:rPr>
        <w:t>推进</w:t>
      </w:r>
      <w:r>
        <w:rPr>
          <w:rFonts w:hint="eastAsia" w:ascii="Times New Roman" w:hAnsi="Times New Roman" w:eastAsia="仿宋_GB2312" w:cs="Times New Roman"/>
          <w:sz w:val="32"/>
          <w:szCs w:val="32"/>
          <w:lang w:val="en-US" w:eastAsia="zh-CN"/>
        </w:rPr>
        <w:t>划区轮牧</w:t>
      </w:r>
      <w:r>
        <w:rPr>
          <w:rFonts w:hint="default" w:ascii="Times New Roman" w:hAnsi="Times New Roman" w:eastAsia="仿宋_GB2312" w:cs="Times New Roman"/>
          <w:sz w:val="32"/>
          <w:szCs w:val="32"/>
          <w:lang w:eastAsia="zh-CN"/>
        </w:rPr>
        <w:t>、创新经营模式、完善</w:t>
      </w:r>
      <w:r>
        <w:rPr>
          <w:rFonts w:hint="eastAsia" w:ascii="Times New Roman" w:hAnsi="Times New Roman" w:eastAsia="仿宋_GB2312" w:cs="Times New Roman"/>
          <w:sz w:val="32"/>
          <w:szCs w:val="32"/>
          <w:lang w:val="en-US" w:eastAsia="zh-CN"/>
        </w:rPr>
        <w:t>利益联结机制</w:t>
      </w:r>
      <w:r>
        <w:rPr>
          <w:rFonts w:hint="default" w:ascii="Times New Roman" w:hAnsi="Times New Roman" w:eastAsia="仿宋_GB2312" w:cs="Times New Roman"/>
          <w:sz w:val="32"/>
          <w:szCs w:val="32"/>
          <w:lang w:eastAsia="zh-CN"/>
        </w:rPr>
        <w:t>，深入</w:t>
      </w:r>
      <w:r>
        <w:rPr>
          <w:rFonts w:hint="eastAsia" w:ascii="Times New Roman" w:hAnsi="Times New Roman" w:eastAsia="仿宋_GB2312" w:cs="Times New Roman"/>
          <w:sz w:val="32"/>
          <w:szCs w:val="32"/>
          <w:lang w:val="en-US" w:eastAsia="zh-CN"/>
        </w:rPr>
        <w:t>分析当前草原畜牧业发展面临的重点难点问题，研究</w:t>
      </w:r>
      <w:r>
        <w:rPr>
          <w:rFonts w:hint="default" w:ascii="Times New Roman" w:hAnsi="Times New Roman" w:eastAsia="仿宋_GB2312" w:cs="Times New Roman"/>
          <w:sz w:val="32"/>
          <w:szCs w:val="32"/>
          <w:lang w:eastAsia="zh-CN"/>
        </w:rPr>
        <w:t>提出</w:t>
      </w:r>
      <w:r>
        <w:rPr>
          <w:rFonts w:hint="eastAsia" w:ascii="Times New Roman" w:hAnsi="Times New Roman" w:eastAsia="仿宋_GB2312" w:cs="Times New Roman"/>
          <w:sz w:val="32"/>
          <w:szCs w:val="32"/>
          <w:lang w:val="en-US" w:eastAsia="zh-CN"/>
        </w:rPr>
        <w:t>草原畜牧业转型升级的目标任务、总体思路和政策举措。</w:t>
      </w:r>
    </w:p>
    <w:p>
      <w:pPr>
        <w:pBdr>
          <w:top w:val="none" w:color="auto" w:sz="0" w:space="1"/>
          <w:left w:val="none" w:color="auto" w:sz="0" w:space="4"/>
          <w:bottom w:val="none" w:color="auto" w:sz="0" w:space="1"/>
          <w:right w:val="none" w:color="auto" w:sz="0" w:space="4"/>
          <w:between w:val="none" w:color="auto" w:sz="0" w:space="0"/>
        </w:pBdr>
        <w:spacing w:line="600" w:lineRule="exact"/>
        <w:ind w:firstLine="643" w:firstLineChars="200"/>
        <w:rPr>
          <w:rFonts w:ascii="Times New Roman" w:hAnsi="Times New Roman" w:eastAsia="楷体_GB2312" w:cs="Times New Roman"/>
          <w:b/>
          <w:sz w:val="32"/>
          <w:szCs w:val="32"/>
        </w:rPr>
      </w:pPr>
      <w:r>
        <w:rPr>
          <w:rFonts w:hint="default" w:ascii="Times New Roman" w:hAnsi="Times New Roman" w:eastAsia="楷体_GB2312" w:cs="Times New Roman"/>
          <w:b/>
          <w:sz w:val="32"/>
          <w:szCs w:val="32"/>
          <w:lang w:eastAsia="zh-CN"/>
        </w:rPr>
        <w:t>2</w:t>
      </w:r>
      <w:r>
        <w:rPr>
          <w:rFonts w:hint="eastAsia" w:ascii="Times New Roman" w:hAnsi="Times New Roman" w:eastAsia="楷体_GB2312" w:cs="Times New Roman"/>
          <w:b/>
          <w:sz w:val="32"/>
          <w:szCs w:val="32"/>
          <w:lang w:val="en-US" w:eastAsia="zh-CN"/>
        </w:rPr>
        <w:t>0</w:t>
      </w:r>
      <w:r>
        <w:rPr>
          <w:rFonts w:ascii="Times New Roman" w:hAnsi="Times New Roman" w:eastAsia="楷体_GB2312" w:cs="Times New Roman"/>
          <w:b/>
          <w:sz w:val="32"/>
          <w:szCs w:val="32"/>
        </w:rPr>
        <w:t>.</w:t>
      </w:r>
      <w:r>
        <w:rPr>
          <w:rFonts w:hint="eastAsia" w:ascii="Times New Roman" w:hAnsi="Times New Roman" w:eastAsia="楷体_GB2312" w:cs="Times New Roman"/>
          <w:b/>
          <w:sz w:val="32"/>
          <w:szCs w:val="32"/>
        </w:rPr>
        <w:t>扩大农业投资研究</w:t>
      </w:r>
    </w:p>
    <w:p>
      <w:pPr>
        <w:pBdr>
          <w:top w:val="none" w:color="auto" w:sz="0" w:space="1"/>
          <w:left w:val="none" w:color="auto" w:sz="0" w:space="4"/>
          <w:bottom w:val="none" w:color="auto" w:sz="0" w:space="1"/>
          <w:right w:val="none" w:color="auto" w:sz="0" w:space="4"/>
          <w:between w:val="none" w:color="auto" w:sz="0" w:space="0"/>
        </w:pBdr>
        <w:spacing w:line="600" w:lineRule="exact"/>
        <w:ind w:firstLine="640" w:firstLineChars="20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对照加快建设农业强国的目标要求，</w:t>
      </w:r>
      <w:r>
        <w:rPr>
          <w:rFonts w:hint="eastAsia" w:ascii="Times New Roman" w:hAnsi="Times New Roman" w:eastAsia="仿宋_GB2312" w:cs="Times New Roman"/>
          <w:sz w:val="32"/>
          <w:szCs w:val="32"/>
        </w:rPr>
        <w:t>梳理</w:t>
      </w:r>
      <w:r>
        <w:rPr>
          <w:rFonts w:hint="default" w:ascii="Times New Roman" w:hAnsi="Times New Roman" w:eastAsia="仿宋_GB2312" w:cs="Times New Roman"/>
          <w:sz w:val="32"/>
          <w:szCs w:val="32"/>
        </w:rPr>
        <w:t>分析</w:t>
      </w:r>
      <w:r>
        <w:rPr>
          <w:rFonts w:hint="eastAsia" w:ascii="Times New Roman" w:hAnsi="Times New Roman" w:eastAsia="仿宋_GB2312" w:cs="Times New Roman"/>
          <w:sz w:val="32"/>
          <w:szCs w:val="32"/>
        </w:rPr>
        <w:t>当前农业投资现状</w:t>
      </w:r>
      <w:r>
        <w:rPr>
          <w:rFonts w:hint="default" w:ascii="Times New Roman" w:hAnsi="Times New Roman" w:eastAsia="仿宋_GB2312" w:cs="Times New Roman"/>
          <w:sz w:val="32"/>
          <w:szCs w:val="32"/>
        </w:rPr>
        <w:t>问题</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科学研判</w:t>
      </w:r>
      <w:r>
        <w:rPr>
          <w:rFonts w:hint="eastAsia" w:ascii="Times New Roman" w:hAnsi="Times New Roman" w:eastAsia="仿宋_GB2312" w:cs="Times New Roman"/>
          <w:sz w:val="32"/>
          <w:szCs w:val="32"/>
        </w:rPr>
        <w:t>农业投资变化</w:t>
      </w:r>
      <w:r>
        <w:rPr>
          <w:rFonts w:hint="default" w:ascii="Times New Roman" w:hAnsi="Times New Roman" w:eastAsia="仿宋_GB2312" w:cs="Times New Roman"/>
          <w:sz w:val="32"/>
          <w:szCs w:val="32"/>
        </w:rPr>
        <w:t>的</w:t>
      </w:r>
      <w:r>
        <w:rPr>
          <w:rFonts w:hint="eastAsia" w:ascii="Times New Roman" w:hAnsi="Times New Roman" w:eastAsia="仿宋_GB2312" w:cs="Times New Roman"/>
          <w:sz w:val="32"/>
          <w:szCs w:val="32"/>
        </w:rPr>
        <w:t>规律趋势，</w:t>
      </w:r>
      <w:r>
        <w:rPr>
          <w:rFonts w:hint="default" w:ascii="Times New Roman" w:hAnsi="Times New Roman" w:eastAsia="仿宋_GB2312" w:cs="Times New Roman"/>
          <w:sz w:val="32"/>
          <w:szCs w:val="32"/>
        </w:rPr>
        <w:t>结合我国农业发展特点，</w:t>
      </w:r>
      <w:r>
        <w:rPr>
          <w:rFonts w:hint="eastAsia" w:ascii="Times New Roman" w:hAnsi="Times New Roman" w:eastAsia="仿宋_GB2312" w:cs="Times New Roman"/>
          <w:sz w:val="32"/>
          <w:szCs w:val="32"/>
        </w:rPr>
        <w:t>提出引导</w:t>
      </w:r>
      <w:r>
        <w:rPr>
          <w:rFonts w:hint="default" w:ascii="Times New Roman" w:hAnsi="Times New Roman" w:eastAsia="仿宋_GB2312" w:cs="Times New Roman"/>
          <w:sz w:val="32"/>
          <w:szCs w:val="32"/>
        </w:rPr>
        <w:t>各类</w:t>
      </w:r>
      <w:r>
        <w:rPr>
          <w:rFonts w:hint="eastAsia" w:ascii="Times New Roman" w:hAnsi="Times New Roman" w:eastAsia="仿宋_GB2312" w:cs="Times New Roman"/>
          <w:sz w:val="32"/>
          <w:szCs w:val="32"/>
        </w:rPr>
        <w:t>资本进入农业的重点领域、</w:t>
      </w:r>
      <w:r>
        <w:rPr>
          <w:rFonts w:hint="default" w:ascii="Times New Roman" w:hAnsi="Times New Roman" w:eastAsia="仿宋_GB2312" w:cs="Times New Roman"/>
          <w:sz w:val="32"/>
          <w:szCs w:val="32"/>
        </w:rPr>
        <w:t>平台载体、</w:t>
      </w:r>
      <w:r>
        <w:rPr>
          <w:rFonts w:hint="eastAsia" w:ascii="Times New Roman" w:hAnsi="Times New Roman" w:eastAsia="仿宋_GB2312" w:cs="Times New Roman"/>
          <w:sz w:val="32"/>
          <w:szCs w:val="32"/>
        </w:rPr>
        <w:t>有效路径、</w:t>
      </w:r>
      <w:r>
        <w:rPr>
          <w:rFonts w:hint="default" w:ascii="Times New Roman" w:hAnsi="Times New Roman" w:eastAsia="仿宋_GB2312" w:cs="Times New Roman"/>
          <w:sz w:val="32"/>
          <w:szCs w:val="32"/>
        </w:rPr>
        <w:t>投融资模式和</w:t>
      </w:r>
      <w:r>
        <w:rPr>
          <w:rFonts w:hint="eastAsia" w:ascii="Times New Roman" w:hAnsi="Times New Roman" w:eastAsia="仿宋_GB2312" w:cs="Times New Roman"/>
          <w:sz w:val="32"/>
          <w:szCs w:val="32"/>
        </w:rPr>
        <w:t>配套政策。</w:t>
      </w:r>
    </w:p>
    <w:p>
      <w:pPr>
        <w:pBdr>
          <w:top w:val="none" w:color="auto" w:sz="0" w:space="1"/>
          <w:left w:val="none" w:color="auto" w:sz="0" w:space="4"/>
          <w:bottom w:val="none" w:color="auto" w:sz="0" w:space="1"/>
          <w:right w:val="none" w:color="auto" w:sz="0" w:space="4"/>
          <w:between w:val="none" w:color="auto" w:sz="0" w:space="0"/>
        </w:pBdr>
        <w:spacing w:line="600"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val="en-US" w:eastAsia="zh-CN"/>
        </w:rPr>
        <w:t>21</w:t>
      </w:r>
      <w:r>
        <w:rPr>
          <w:rFonts w:ascii="Times New Roman" w:hAnsi="Times New Roman" w:eastAsia="楷体_GB2312" w:cs="Times New Roman"/>
          <w:b/>
          <w:sz w:val="32"/>
          <w:szCs w:val="32"/>
        </w:rPr>
        <w:t>.</w:t>
      </w:r>
      <w:r>
        <w:rPr>
          <w:rFonts w:hint="eastAsia" w:ascii="Times New Roman" w:hAnsi="Times New Roman" w:eastAsia="楷体_GB2312" w:cs="Times New Roman"/>
          <w:b/>
          <w:sz w:val="32"/>
          <w:szCs w:val="32"/>
        </w:rPr>
        <w:t>县域经济发展促进机制研究</w:t>
      </w:r>
    </w:p>
    <w:p>
      <w:pPr>
        <w:pBdr>
          <w:top w:val="none" w:color="auto" w:sz="0" w:space="1"/>
          <w:left w:val="none" w:color="auto" w:sz="0" w:space="4"/>
          <w:bottom w:val="none" w:color="auto" w:sz="0" w:space="1"/>
          <w:right w:val="none" w:color="auto" w:sz="0" w:space="4"/>
          <w:between w:val="none" w:color="auto" w:sz="0" w:space="0"/>
        </w:pBd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在充分调研的基础上，研究县域在构建新发展格局中的地位，</w:t>
      </w:r>
      <w:r>
        <w:rPr>
          <w:rFonts w:hint="default" w:ascii="Times New Roman" w:hAnsi="Times New Roman" w:eastAsia="仿宋_GB2312" w:cs="Times New Roman"/>
          <w:sz w:val="32"/>
          <w:szCs w:val="32"/>
        </w:rPr>
        <w:t>科学研判</w:t>
      </w:r>
      <w:r>
        <w:rPr>
          <w:rFonts w:hint="eastAsia" w:ascii="Times New Roman" w:hAnsi="Times New Roman" w:eastAsia="仿宋_GB2312" w:cs="Times New Roman"/>
          <w:sz w:val="32"/>
          <w:szCs w:val="32"/>
        </w:rPr>
        <w:t>县域</w:t>
      </w:r>
      <w:r>
        <w:rPr>
          <w:rFonts w:hint="default" w:ascii="Times New Roman" w:hAnsi="Times New Roman" w:eastAsia="仿宋_GB2312" w:cs="Times New Roman"/>
          <w:sz w:val="32"/>
          <w:szCs w:val="32"/>
        </w:rPr>
        <w:t>经济</w:t>
      </w:r>
      <w:r>
        <w:rPr>
          <w:rFonts w:hint="eastAsia" w:ascii="Times New Roman" w:hAnsi="Times New Roman" w:eastAsia="仿宋_GB2312" w:cs="Times New Roman"/>
          <w:sz w:val="32"/>
          <w:szCs w:val="32"/>
        </w:rPr>
        <w:t>发展趋势</w:t>
      </w:r>
      <w:r>
        <w:rPr>
          <w:rFonts w:hint="default" w:ascii="Times New Roman" w:hAnsi="Times New Roman" w:eastAsia="仿宋_GB2312" w:cs="Times New Roman"/>
          <w:sz w:val="32"/>
          <w:szCs w:val="32"/>
        </w:rPr>
        <w:t>和分化态势</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就</w:t>
      </w:r>
      <w:r>
        <w:rPr>
          <w:rFonts w:hint="eastAsia" w:ascii="Times New Roman" w:hAnsi="Times New Roman" w:eastAsia="仿宋_GB2312" w:cs="Times New Roman"/>
          <w:sz w:val="32"/>
          <w:szCs w:val="32"/>
        </w:rPr>
        <w:t>加快县域产业发展</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推进</w:t>
      </w:r>
      <w:r>
        <w:rPr>
          <w:rFonts w:hint="eastAsia" w:ascii="Times New Roman" w:hAnsi="Times New Roman" w:eastAsia="仿宋_GB2312" w:cs="Times New Roman"/>
          <w:sz w:val="32"/>
          <w:szCs w:val="32"/>
        </w:rPr>
        <w:t>农民</w:t>
      </w:r>
      <w:r>
        <w:rPr>
          <w:rFonts w:hint="eastAsia" w:ascii="Times New Roman" w:hAnsi="Times New Roman" w:eastAsia="仿宋_GB2312" w:cs="Times New Roman"/>
          <w:sz w:val="32"/>
          <w:szCs w:val="32"/>
          <w:lang w:eastAsia="zh-CN"/>
        </w:rPr>
        <w:t>就</w:t>
      </w:r>
      <w:r>
        <w:rPr>
          <w:rFonts w:hint="eastAsia" w:ascii="Times New Roman" w:hAnsi="Times New Roman" w:eastAsia="仿宋_GB2312" w:cs="Times New Roman"/>
          <w:sz w:val="32"/>
          <w:szCs w:val="32"/>
        </w:rPr>
        <w:t>地就业</w:t>
      </w:r>
      <w:r>
        <w:rPr>
          <w:rFonts w:hint="default" w:ascii="Times New Roman" w:hAnsi="Times New Roman" w:eastAsia="仿宋_GB2312" w:cs="Times New Roman"/>
          <w:sz w:val="32"/>
          <w:szCs w:val="32"/>
        </w:rPr>
        <w:t>和市民化</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推动县域城乡融合发展提出思路和建议。</w:t>
      </w:r>
    </w:p>
    <w:p>
      <w:pPr>
        <w:pBdr>
          <w:top w:val="none" w:color="auto" w:sz="0" w:space="1"/>
          <w:left w:val="none" w:color="auto" w:sz="0" w:space="4"/>
          <w:bottom w:val="none" w:color="auto" w:sz="0" w:space="1"/>
          <w:right w:val="none" w:color="auto" w:sz="0" w:space="4"/>
          <w:between w:val="none" w:color="auto" w:sz="0" w:space="0"/>
        </w:pBdr>
        <w:spacing w:line="600" w:lineRule="exact"/>
        <w:ind w:firstLine="643" w:firstLineChars="200"/>
        <w:rPr>
          <w:rFonts w:ascii="Times New Roman" w:hAnsi="Times New Roman" w:eastAsia="楷体_GB2312" w:cs="Times New Roman"/>
          <w:b/>
          <w:color w:val="auto"/>
          <w:sz w:val="32"/>
          <w:szCs w:val="32"/>
        </w:rPr>
      </w:pPr>
      <w:r>
        <w:rPr>
          <w:rFonts w:hint="eastAsia" w:ascii="Times New Roman" w:hAnsi="Times New Roman" w:eastAsia="楷体_GB2312" w:cs="Times New Roman"/>
          <w:b/>
          <w:color w:val="auto"/>
          <w:sz w:val="32"/>
          <w:szCs w:val="32"/>
          <w:lang w:val="en-US" w:eastAsia="zh-CN"/>
        </w:rPr>
        <w:t>22</w:t>
      </w:r>
      <w:r>
        <w:rPr>
          <w:rFonts w:ascii="Times New Roman" w:hAnsi="Times New Roman" w:eastAsia="楷体_GB2312" w:cs="Times New Roman"/>
          <w:b/>
          <w:color w:val="auto"/>
          <w:sz w:val="32"/>
          <w:szCs w:val="32"/>
        </w:rPr>
        <w:t>.完善</w:t>
      </w:r>
      <w:r>
        <w:rPr>
          <w:rFonts w:hint="eastAsia" w:ascii="Times New Roman" w:hAnsi="Times New Roman" w:eastAsia="楷体_GB2312" w:cs="Times New Roman"/>
          <w:b/>
          <w:color w:val="auto"/>
          <w:sz w:val="32"/>
          <w:szCs w:val="32"/>
        </w:rPr>
        <w:t>农村养老服务</w:t>
      </w:r>
      <w:r>
        <w:rPr>
          <w:rFonts w:hint="eastAsia" w:ascii="Times New Roman" w:hAnsi="Times New Roman" w:eastAsia="楷体_GB2312" w:cs="Times New Roman"/>
          <w:b/>
          <w:color w:val="auto"/>
          <w:sz w:val="32"/>
          <w:szCs w:val="32"/>
          <w:lang w:eastAsia="zh-CN"/>
        </w:rPr>
        <w:t>体系</w:t>
      </w:r>
      <w:r>
        <w:rPr>
          <w:rFonts w:hint="eastAsia" w:ascii="Times New Roman" w:hAnsi="Times New Roman" w:eastAsia="楷体_GB2312" w:cs="Times New Roman"/>
          <w:b/>
          <w:color w:val="auto"/>
          <w:sz w:val="32"/>
          <w:szCs w:val="32"/>
        </w:rPr>
        <w:t>研究</w:t>
      </w:r>
    </w:p>
    <w:p>
      <w:pPr>
        <w:pBdr>
          <w:top w:val="none" w:color="auto" w:sz="0" w:space="1"/>
          <w:left w:val="none" w:color="auto" w:sz="0" w:space="4"/>
          <w:bottom w:val="none" w:color="auto" w:sz="0" w:space="1"/>
          <w:right w:val="none" w:color="auto" w:sz="0" w:space="4"/>
          <w:between w:val="none" w:color="auto" w:sz="0" w:space="0"/>
        </w:pBd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立足农民需求和农村特点，就</w:t>
      </w:r>
      <w:r>
        <w:rPr>
          <w:rFonts w:hint="default" w:ascii="Times New Roman" w:hAnsi="Times New Roman" w:eastAsia="仿宋_GB2312" w:cs="Times New Roman"/>
          <w:sz w:val="32"/>
          <w:szCs w:val="32"/>
        </w:rPr>
        <w:t>完善居家养老服务网络、推进村庄公共设施适老化改造、发展农村普惠型养老服务、支持家庭承担养老功能、强化政府养老机构兜底保障等，总结各地创新性的实践和做法</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提出可行性、操作性强的政策建议。</w:t>
      </w:r>
    </w:p>
    <w:p>
      <w:pPr>
        <w:pBdr>
          <w:top w:val="none" w:color="auto" w:sz="0" w:space="1"/>
          <w:left w:val="none" w:color="auto" w:sz="0" w:space="4"/>
          <w:bottom w:val="none" w:color="auto" w:sz="0" w:space="1"/>
          <w:right w:val="none" w:color="auto" w:sz="0" w:space="4"/>
          <w:between w:val="none" w:color="auto" w:sz="0" w:space="0"/>
        </w:pBdr>
        <w:spacing w:line="600" w:lineRule="exact"/>
        <w:ind w:firstLine="643" w:firstLineChars="200"/>
        <w:rPr>
          <w:rFonts w:hint="eastAsia" w:ascii="Times New Roman" w:hAnsi="Times New Roman" w:eastAsia="楷体_GB2312" w:cs="Times New Roman"/>
          <w:b/>
          <w:sz w:val="32"/>
          <w:szCs w:val="32"/>
        </w:rPr>
      </w:pPr>
      <w:r>
        <w:rPr>
          <w:rFonts w:hint="eastAsia" w:ascii="Times New Roman" w:hAnsi="Times New Roman" w:eastAsia="楷体_GB2312" w:cs="Times New Roman"/>
          <w:b/>
          <w:sz w:val="32"/>
          <w:szCs w:val="32"/>
          <w:lang w:val="en-US" w:eastAsia="zh-CN"/>
        </w:rPr>
        <w:t>23.</w:t>
      </w:r>
      <w:r>
        <w:rPr>
          <w:rFonts w:hint="eastAsia" w:ascii="Times New Roman" w:hAnsi="Times New Roman" w:eastAsia="楷体_GB2312" w:cs="Times New Roman"/>
          <w:b/>
          <w:sz w:val="32"/>
          <w:szCs w:val="32"/>
        </w:rPr>
        <w:t>基层治理体系优化创新研究</w:t>
      </w:r>
    </w:p>
    <w:p>
      <w:pPr>
        <w:pBdr>
          <w:top w:val="none" w:color="auto" w:sz="0" w:space="1"/>
          <w:left w:val="none" w:color="auto" w:sz="0" w:space="4"/>
          <w:bottom w:val="none" w:color="auto" w:sz="0" w:space="1"/>
          <w:right w:val="none" w:color="auto" w:sz="0" w:space="4"/>
          <w:between w:val="none" w:color="auto" w:sz="0" w:space="0"/>
        </w:pBdr>
        <w:spacing w:line="600" w:lineRule="exact"/>
        <w:ind w:firstLine="640" w:firstLineChars="20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适应基层治理</w:t>
      </w:r>
      <w:r>
        <w:rPr>
          <w:rFonts w:hint="eastAsia" w:ascii="Times New Roman" w:hAnsi="Times New Roman" w:eastAsia="仿宋_GB2312" w:cs="Times New Roman"/>
          <w:sz w:val="32"/>
          <w:szCs w:val="32"/>
          <w:lang w:eastAsia="zh-CN"/>
        </w:rPr>
        <w:t>新形势新要求</w:t>
      </w:r>
      <w:r>
        <w:rPr>
          <w:rFonts w:hint="default" w:ascii="Times New Roman" w:hAnsi="Times New Roman" w:eastAsia="仿宋_GB2312" w:cs="Times New Roman"/>
          <w:sz w:val="32"/>
          <w:szCs w:val="32"/>
        </w:rPr>
        <w:t>，研究总结各地创新模式和实践经验，</w:t>
      </w:r>
      <w:r>
        <w:rPr>
          <w:rFonts w:hint="eastAsia" w:ascii="Times New Roman" w:hAnsi="Times New Roman" w:eastAsia="仿宋_GB2312" w:cs="Times New Roman"/>
          <w:sz w:val="32"/>
          <w:szCs w:val="32"/>
          <w:lang w:eastAsia="zh-CN"/>
        </w:rPr>
        <w:t>围绕</w:t>
      </w:r>
      <w:r>
        <w:rPr>
          <w:rFonts w:hint="default" w:ascii="Times New Roman" w:hAnsi="Times New Roman" w:eastAsia="仿宋_GB2312" w:cs="Times New Roman"/>
          <w:sz w:val="32"/>
          <w:szCs w:val="32"/>
        </w:rPr>
        <w:t>推动县域治理和服务重心下移</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资源下沉</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促进乡镇赋权扩能</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b w:val="0"/>
          <w:sz w:val="32"/>
          <w:szCs w:val="32"/>
        </w:rPr>
        <w:t>创新</w:t>
      </w:r>
      <w:r>
        <w:rPr>
          <w:rFonts w:hint="default" w:ascii="Times New Roman" w:hAnsi="Times New Roman" w:eastAsia="仿宋_GB2312" w:cs="Times New Roman"/>
          <w:b w:val="0"/>
          <w:sz w:val="32"/>
          <w:szCs w:val="32"/>
        </w:rPr>
        <w:t>数字化技术应用机制</w:t>
      </w:r>
      <w:r>
        <w:rPr>
          <w:rFonts w:hint="eastAsia" w:ascii="Times New Roman" w:hAnsi="Times New Roman" w:eastAsia="仿宋_GB2312" w:cs="Times New Roman"/>
          <w:b w:val="0"/>
          <w:sz w:val="32"/>
          <w:szCs w:val="32"/>
          <w:lang w:eastAsia="zh-CN"/>
        </w:rPr>
        <w:t>提升基层治理效能等方面，提出优化基层治理体系的可行思路和政策建议</w:t>
      </w:r>
      <w:r>
        <w:rPr>
          <w:rFonts w:hint="default" w:ascii="Times New Roman" w:hAnsi="Times New Roman" w:eastAsia="仿宋_GB2312" w:cs="Times New Roman"/>
          <w:sz w:val="32"/>
          <w:szCs w:val="32"/>
        </w:rPr>
        <w:t>。</w:t>
      </w:r>
    </w:p>
    <w:p>
      <w:pPr>
        <w:pBdr>
          <w:top w:val="none" w:color="auto" w:sz="0" w:space="1"/>
          <w:left w:val="none" w:color="auto" w:sz="0" w:space="4"/>
          <w:bottom w:val="none" w:color="auto" w:sz="0" w:space="1"/>
          <w:right w:val="none" w:color="auto" w:sz="0" w:space="4"/>
          <w:between w:val="none" w:color="auto" w:sz="0" w:space="0"/>
        </w:pBdr>
        <w:spacing w:line="60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2</w:t>
      </w:r>
      <w:r>
        <w:rPr>
          <w:rFonts w:hint="eastAsia" w:ascii="Times New Roman" w:hAnsi="Times New Roman" w:eastAsia="楷体_GB2312" w:cs="Times New Roman"/>
          <w:b/>
          <w:sz w:val="32"/>
          <w:szCs w:val="32"/>
          <w:lang w:val="en-US" w:eastAsia="zh-CN"/>
        </w:rPr>
        <w:t>4</w:t>
      </w:r>
      <w:r>
        <w:rPr>
          <w:rFonts w:ascii="Times New Roman" w:hAnsi="Times New Roman" w:eastAsia="楷体_GB2312" w:cs="Times New Roman"/>
          <w:b/>
          <w:sz w:val="32"/>
          <w:szCs w:val="32"/>
        </w:rPr>
        <w:t>.</w:t>
      </w:r>
      <w:r>
        <w:rPr>
          <w:rFonts w:hint="eastAsia" w:ascii="Times New Roman" w:hAnsi="Times New Roman" w:eastAsia="楷体_GB2312" w:cs="Times New Roman"/>
          <w:b/>
          <w:sz w:val="32"/>
          <w:szCs w:val="32"/>
        </w:rPr>
        <w:t>中华农耕文明中的“和”文化研究</w:t>
      </w:r>
    </w:p>
    <w:p>
      <w:pPr>
        <w:pBdr>
          <w:top w:val="none" w:color="auto" w:sz="0" w:space="1"/>
          <w:left w:val="none" w:color="auto" w:sz="0" w:space="4"/>
          <w:bottom w:val="none" w:color="auto" w:sz="0" w:space="1"/>
          <w:right w:val="none" w:color="auto" w:sz="0" w:space="4"/>
          <w:between w:val="none" w:color="auto" w:sz="0" w:space="0"/>
        </w:pBdr>
        <w:spacing w:line="60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rPr>
        <w:t>系统梳理中华农耕文明中“和”文化的</w:t>
      </w:r>
      <w:r>
        <w:rPr>
          <w:rFonts w:hint="default" w:ascii="Times New Roman" w:hAnsi="Times New Roman" w:eastAsia="仿宋_GB2312" w:cs="Times New Roman"/>
          <w:sz w:val="32"/>
          <w:szCs w:val="32"/>
        </w:rPr>
        <w:t>丰富</w:t>
      </w:r>
      <w:r>
        <w:rPr>
          <w:rFonts w:hint="eastAsia" w:ascii="Times New Roman" w:hAnsi="Times New Roman" w:eastAsia="仿宋_GB2312" w:cs="Times New Roman"/>
          <w:sz w:val="32"/>
          <w:szCs w:val="32"/>
        </w:rPr>
        <w:t>内涵，分析“和”文化在当代乡村</w:t>
      </w:r>
      <w:r>
        <w:rPr>
          <w:rFonts w:hint="default" w:ascii="Times New Roman" w:hAnsi="Times New Roman" w:eastAsia="仿宋_GB2312" w:cs="Times New Roman"/>
          <w:sz w:val="32"/>
          <w:szCs w:val="32"/>
        </w:rPr>
        <w:t>社会</w:t>
      </w:r>
      <w:r>
        <w:rPr>
          <w:rFonts w:hint="eastAsia" w:ascii="Times New Roman" w:hAnsi="Times New Roman" w:eastAsia="仿宋_GB2312" w:cs="Times New Roman"/>
          <w:sz w:val="32"/>
          <w:szCs w:val="32"/>
        </w:rPr>
        <w:t>的价值体现，总结地方</w:t>
      </w:r>
      <w:r>
        <w:rPr>
          <w:rFonts w:hint="default" w:ascii="Times New Roman" w:hAnsi="Times New Roman" w:eastAsia="仿宋_GB2312" w:cs="Times New Roman"/>
          <w:sz w:val="32"/>
          <w:szCs w:val="32"/>
        </w:rPr>
        <w:t>传承发扬</w:t>
      </w:r>
      <w:r>
        <w:rPr>
          <w:rFonts w:hint="eastAsia" w:ascii="仿宋_GB2312" w:hAnsi="仿宋_GB2312" w:eastAsia="仿宋_GB2312" w:cs="仿宋_GB2312"/>
          <w:sz w:val="32"/>
          <w:szCs w:val="32"/>
        </w:rPr>
        <w:t>“和”文化的经验做法，研究提出宜居宜业和美乡村建设中“和”文化</w:t>
      </w: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具体类型与</w:t>
      </w:r>
      <w:r>
        <w:rPr>
          <w:rFonts w:hint="eastAsia" w:ascii="仿宋_GB2312" w:hAnsi="仿宋_GB2312" w:eastAsia="仿宋_GB2312" w:cs="仿宋_GB2312"/>
          <w:sz w:val="32"/>
          <w:szCs w:val="32"/>
        </w:rPr>
        <w:t>实践方式。</w:t>
      </w:r>
    </w:p>
    <w:p>
      <w:pPr>
        <w:pBdr>
          <w:top w:val="none" w:color="auto" w:sz="0" w:space="1"/>
          <w:left w:val="none" w:color="auto" w:sz="0" w:space="4"/>
          <w:bottom w:val="none" w:color="auto" w:sz="0" w:space="1"/>
          <w:right w:val="none" w:color="auto" w:sz="0" w:space="4"/>
          <w:between w:val="none" w:color="auto" w:sz="0" w:space="0"/>
        </w:pBdr>
        <w:spacing w:line="60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2</w:t>
      </w:r>
      <w:r>
        <w:rPr>
          <w:rFonts w:hint="eastAsia" w:ascii="Times New Roman" w:hAnsi="Times New Roman" w:eastAsia="楷体_GB2312" w:cs="Times New Roman"/>
          <w:b/>
          <w:sz w:val="32"/>
          <w:szCs w:val="32"/>
          <w:lang w:val="en-US" w:eastAsia="zh-CN"/>
        </w:rPr>
        <w:t>5</w:t>
      </w:r>
      <w:r>
        <w:rPr>
          <w:rFonts w:ascii="Times New Roman" w:hAnsi="Times New Roman" w:eastAsia="楷体_GB2312" w:cs="Times New Roman"/>
          <w:b/>
          <w:sz w:val="32"/>
          <w:szCs w:val="32"/>
        </w:rPr>
        <w:t>.</w:t>
      </w:r>
      <w:r>
        <w:rPr>
          <w:rFonts w:hint="eastAsia" w:ascii="Times New Roman" w:hAnsi="Times New Roman" w:eastAsia="楷体_GB2312" w:cs="Times New Roman"/>
          <w:b/>
          <w:sz w:val="32"/>
          <w:szCs w:val="32"/>
        </w:rPr>
        <w:t>新一代农民工群体特征和发展状况研究</w:t>
      </w:r>
    </w:p>
    <w:p>
      <w:pPr>
        <w:pBdr>
          <w:top w:val="none" w:color="auto" w:sz="0" w:space="1"/>
          <w:left w:val="none" w:color="auto" w:sz="0" w:space="4"/>
          <w:bottom w:val="none" w:color="auto" w:sz="0" w:space="1"/>
          <w:right w:val="none" w:color="auto" w:sz="0" w:space="4"/>
          <w:between w:val="none" w:color="auto" w:sz="0" w:space="0"/>
        </w:pBd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立足我国城镇化发展趋势</w:t>
      </w:r>
      <w:r>
        <w:rPr>
          <w:rFonts w:hint="eastAsia" w:ascii="Times New Roman" w:hAnsi="Times New Roman" w:eastAsia="仿宋_GB2312" w:cs="Times New Roman"/>
          <w:sz w:val="32"/>
          <w:szCs w:val="32"/>
          <w:lang w:eastAsia="zh-CN"/>
        </w:rPr>
        <w:t>以及</w:t>
      </w:r>
      <w:r>
        <w:rPr>
          <w:rFonts w:hint="eastAsia" w:ascii="Times New Roman" w:hAnsi="Times New Roman" w:eastAsia="仿宋_GB2312" w:cs="Times New Roman"/>
          <w:sz w:val="32"/>
          <w:szCs w:val="32"/>
        </w:rPr>
        <w:t>农民工年龄结构、代际结构变化趋势，通过问卷调查和实地调研，深入分析</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90</w:t>
      </w:r>
      <w:r>
        <w:rPr>
          <w:rFonts w:hint="eastAsia" w:ascii="仿宋_GB2312" w:hAnsi="仿宋_GB2312" w:eastAsia="仿宋_GB2312" w:cs="仿宋_GB2312"/>
          <w:sz w:val="32"/>
          <w:szCs w:val="32"/>
        </w:rPr>
        <w:t>后”、“</w:t>
      </w:r>
      <w:r>
        <w:rPr>
          <w:rFonts w:hint="default" w:ascii="Times New Roman" w:hAnsi="Times New Roman" w:eastAsia="仿宋_GB2312" w:cs="Times New Roman"/>
          <w:sz w:val="32"/>
          <w:szCs w:val="32"/>
        </w:rPr>
        <w:t>00</w:t>
      </w:r>
      <w:r>
        <w:rPr>
          <w:rFonts w:hint="eastAsia" w:ascii="仿宋_GB2312" w:hAnsi="仿宋_GB2312" w:eastAsia="仿宋_GB2312" w:cs="仿宋_GB2312"/>
          <w:sz w:val="32"/>
          <w:szCs w:val="32"/>
        </w:rPr>
        <w:t>后”</w:t>
      </w:r>
      <w:r>
        <w:rPr>
          <w:rFonts w:hint="eastAsia" w:ascii="Times New Roman" w:hAnsi="Times New Roman" w:eastAsia="仿宋_GB2312" w:cs="Times New Roman"/>
          <w:sz w:val="32"/>
          <w:szCs w:val="32"/>
        </w:rPr>
        <w:t>新一代农民工就业收入、</w:t>
      </w:r>
      <w:r>
        <w:rPr>
          <w:rFonts w:hint="default" w:ascii="Times New Roman" w:hAnsi="Times New Roman" w:eastAsia="仿宋_GB2312" w:cs="Times New Roman"/>
          <w:sz w:val="32"/>
          <w:szCs w:val="32"/>
          <w:lang w:eastAsia="zh-CN"/>
        </w:rPr>
        <w:t>定居意愿</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社会</w:t>
      </w:r>
      <w:r>
        <w:rPr>
          <w:rFonts w:hint="eastAsia" w:ascii="Times New Roman" w:hAnsi="Times New Roman" w:eastAsia="仿宋_GB2312" w:cs="Times New Roman"/>
          <w:sz w:val="32"/>
          <w:szCs w:val="32"/>
        </w:rPr>
        <w:t>融入、精神生活、价值追求等方面的</w:t>
      </w:r>
      <w:r>
        <w:rPr>
          <w:rFonts w:hint="default" w:ascii="Times New Roman" w:hAnsi="Times New Roman" w:eastAsia="仿宋_GB2312" w:cs="Times New Roman"/>
          <w:sz w:val="32"/>
          <w:szCs w:val="32"/>
        </w:rPr>
        <w:t>新</w:t>
      </w:r>
      <w:r>
        <w:rPr>
          <w:rFonts w:hint="eastAsia" w:ascii="Times New Roman" w:hAnsi="Times New Roman" w:eastAsia="仿宋_GB2312" w:cs="Times New Roman"/>
          <w:sz w:val="32"/>
          <w:szCs w:val="32"/>
        </w:rPr>
        <w:t>特点</w:t>
      </w:r>
      <w:r>
        <w:rPr>
          <w:rFonts w:hint="default" w:ascii="Times New Roman" w:hAnsi="Times New Roman" w:eastAsia="仿宋_GB2312" w:cs="Times New Roman"/>
          <w:sz w:val="32"/>
          <w:szCs w:val="32"/>
        </w:rPr>
        <w:t>、新</w:t>
      </w:r>
      <w:r>
        <w:rPr>
          <w:rFonts w:hint="eastAsia" w:ascii="Times New Roman" w:hAnsi="Times New Roman" w:eastAsia="仿宋_GB2312" w:cs="Times New Roman"/>
          <w:sz w:val="32"/>
          <w:szCs w:val="32"/>
        </w:rPr>
        <w:t>趋势，研究提出政策建议。</w:t>
      </w:r>
    </w:p>
    <w:p>
      <w:pPr>
        <w:pBdr>
          <w:top w:val="none" w:color="auto" w:sz="0" w:space="1"/>
          <w:left w:val="none" w:color="auto" w:sz="0" w:space="4"/>
          <w:bottom w:val="none" w:color="auto" w:sz="0" w:space="1"/>
          <w:right w:val="none" w:color="auto" w:sz="0" w:space="4"/>
          <w:between w:val="none" w:color="auto" w:sz="0" w:space="0"/>
        </w:pBdr>
        <w:spacing w:line="60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2</w:t>
      </w:r>
      <w:r>
        <w:rPr>
          <w:rFonts w:hint="eastAsia" w:ascii="Times New Roman" w:hAnsi="Times New Roman" w:eastAsia="楷体_GB2312" w:cs="Times New Roman"/>
          <w:b/>
          <w:sz w:val="32"/>
          <w:szCs w:val="32"/>
          <w:lang w:val="en-US" w:eastAsia="zh-CN"/>
        </w:rPr>
        <w:t>6</w:t>
      </w:r>
      <w:r>
        <w:rPr>
          <w:rFonts w:ascii="Times New Roman" w:hAnsi="Times New Roman" w:eastAsia="楷体_GB2312" w:cs="Times New Roman"/>
          <w:b/>
          <w:sz w:val="32"/>
          <w:szCs w:val="32"/>
        </w:rPr>
        <w:t>.</w:t>
      </w:r>
      <w:r>
        <w:rPr>
          <w:rFonts w:hint="eastAsia" w:ascii="Times New Roman" w:hAnsi="Times New Roman" w:eastAsia="楷体_GB2312" w:cs="Times New Roman"/>
          <w:b/>
          <w:sz w:val="32"/>
          <w:szCs w:val="32"/>
        </w:rPr>
        <w:t>新型农村集体经济的发展路径与运行机制研究</w:t>
      </w:r>
    </w:p>
    <w:p>
      <w:pPr>
        <w:pBdr>
          <w:top w:val="none" w:color="auto" w:sz="0" w:space="1"/>
          <w:left w:val="none" w:color="auto" w:sz="0" w:space="4"/>
          <w:bottom w:val="none" w:color="auto" w:sz="0" w:space="1"/>
          <w:right w:val="none" w:color="auto" w:sz="0" w:space="4"/>
          <w:between w:val="none" w:color="auto" w:sz="0" w:space="0"/>
        </w:pBd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分析</w:t>
      </w:r>
      <w:r>
        <w:rPr>
          <w:rFonts w:hint="eastAsia" w:ascii="Times New Roman" w:hAnsi="Times New Roman" w:eastAsia="仿宋_GB2312" w:cs="Times New Roman"/>
          <w:sz w:val="32"/>
          <w:szCs w:val="32"/>
        </w:rPr>
        <w:t>新型农村集体经济的</w:t>
      </w:r>
      <w:r>
        <w:rPr>
          <w:rFonts w:hint="eastAsia" w:ascii="Times New Roman" w:hAnsi="Times New Roman" w:eastAsia="仿宋_GB2312" w:cs="Times New Roman"/>
          <w:sz w:val="32"/>
          <w:szCs w:val="32"/>
          <w:lang w:eastAsia="zh-CN"/>
        </w:rPr>
        <w:t>时代特点与</w:t>
      </w:r>
      <w:r>
        <w:rPr>
          <w:rFonts w:hint="eastAsia" w:ascii="Times New Roman" w:hAnsi="Times New Roman" w:eastAsia="仿宋_GB2312" w:cs="Times New Roman"/>
          <w:sz w:val="32"/>
          <w:szCs w:val="32"/>
        </w:rPr>
        <w:t>内涵外延，基于实地调研</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对比分析各地发展新型农村集体经济的不同模式，提出壮大农村集体经济、完善运行机制、保障农民权益的新路径</w:t>
      </w:r>
      <w:r>
        <w:rPr>
          <w:rFonts w:hint="default" w:ascii="Times New Roman" w:hAnsi="Times New Roman" w:eastAsia="仿宋_GB2312" w:cs="Times New Roman"/>
          <w:sz w:val="32"/>
          <w:szCs w:val="32"/>
        </w:rPr>
        <w:t>新举措</w:t>
      </w:r>
      <w:r>
        <w:rPr>
          <w:rFonts w:hint="eastAsia" w:ascii="Times New Roman" w:hAnsi="Times New Roman" w:eastAsia="仿宋_GB2312" w:cs="Times New Roman"/>
          <w:sz w:val="32"/>
          <w:szCs w:val="32"/>
        </w:rPr>
        <w:t>。</w:t>
      </w:r>
    </w:p>
    <w:p>
      <w:pPr>
        <w:pBdr>
          <w:top w:val="none" w:color="auto" w:sz="0" w:space="1"/>
          <w:left w:val="none" w:color="auto" w:sz="0" w:space="4"/>
          <w:bottom w:val="none" w:color="auto" w:sz="0" w:space="1"/>
          <w:right w:val="none" w:color="auto" w:sz="0" w:space="4"/>
          <w:between w:val="none" w:color="auto" w:sz="0" w:space="0"/>
        </w:pBdr>
        <w:spacing w:line="600"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val="en-US" w:eastAsia="zh-CN"/>
        </w:rPr>
        <w:t>27</w:t>
      </w:r>
      <w:r>
        <w:rPr>
          <w:rFonts w:ascii="Times New Roman" w:hAnsi="Times New Roman" w:eastAsia="楷体_GB2312" w:cs="Times New Roman"/>
          <w:b/>
          <w:sz w:val="32"/>
          <w:szCs w:val="32"/>
        </w:rPr>
        <w:t>.</w:t>
      </w:r>
      <w:r>
        <w:rPr>
          <w:rFonts w:hint="eastAsia" w:ascii="Times New Roman" w:hAnsi="Times New Roman" w:eastAsia="楷体_GB2312" w:cs="Times New Roman"/>
          <w:b/>
          <w:sz w:val="32"/>
          <w:szCs w:val="32"/>
        </w:rPr>
        <w:t>农村宅基地</w:t>
      </w:r>
      <w:r>
        <w:rPr>
          <w:rFonts w:hint="eastAsia" w:ascii="Times New Roman" w:hAnsi="Times New Roman" w:eastAsia="楷体_GB2312" w:cs="Times New Roman"/>
          <w:b/>
          <w:sz w:val="32"/>
          <w:szCs w:val="32"/>
          <w:lang w:eastAsia="zh-CN"/>
        </w:rPr>
        <w:t>权利分置和权能完善</w:t>
      </w:r>
      <w:r>
        <w:rPr>
          <w:rFonts w:hint="eastAsia" w:ascii="Times New Roman" w:hAnsi="Times New Roman" w:eastAsia="楷体_GB2312" w:cs="Times New Roman"/>
          <w:b/>
          <w:sz w:val="32"/>
          <w:szCs w:val="32"/>
        </w:rPr>
        <w:t>研究</w:t>
      </w:r>
    </w:p>
    <w:p>
      <w:pPr>
        <w:pBdr>
          <w:top w:val="none" w:color="auto" w:sz="0" w:space="1"/>
          <w:left w:val="none" w:color="auto" w:sz="0" w:space="4"/>
          <w:bottom w:val="none" w:color="auto" w:sz="0" w:space="1"/>
          <w:right w:val="none" w:color="auto" w:sz="0" w:space="4"/>
          <w:between w:val="none" w:color="auto" w:sz="0" w:space="0"/>
        </w:pBd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研究农村宅基地集体所有权、农户资格权和宅基地使用权</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三权分置</w:t>
      </w:r>
      <w:r>
        <w:rPr>
          <w:rFonts w:hint="eastAsia" w:ascii="Times New Roman" w:hAnsi="Times New Roman" w:eastAsia="仿宋_GB2312" w:cs="Times New Roman"/>
          <w:sz w:val="32"/>
          <w:szCs w:val="32"/>
        </w:rPr>
        <w:t>”的</w:t>
      </w:r>
      <w:r>
        <w:rPr>
          <w:rFonts w:hint="eastAsia" w:ascii="Times New Roman" w:hAnsi="Times New Roman" w:eastAsia="仿宋_GB2312" w:cs="Times New Roman"/>
          <w:sz w:val="32"/>
          <w:szCs w:val="32"/>
          <w:lang w:eastAsia="zh-CN"/>
        </w:rPr>
        <w:t>有效</w:t>
      </w:r>
      <w:r>
        <w:rPr>
          <w:rFonts w:hint="eastAsia" w:ascii="Times New Roman" w:hAnsi="Times New Roman" w:eastAsia="仿宋_GB2312" w:cs="Times New Roman"/>
          <w:sz w:val="32"/>
          <w:szCs w:val="32"/>
        </w:rPr>
        <w:t>实现形式，</w:t>
      </w:r>
      <w:r>
        <w:rPr>
          <w:rFonts w:hint="eastAsia" w:ascii="Times New Roman" w:hAnsi="Times New Roman" w:eastAsia="仿宋_GB2312" w:cs="Times New Roman"/>
          <w:sz w:val="32"/>
          <w:szCs w:val="32"/>
          <w:lang w:eastAsia="zh-CN"/>
        </w:rPr>
        <w:t>进一步明晰所有权、资格权、使用权的权能及实现路径，</w:t>
      </w:r>
      <w:r>
        <w:rPr>
          <w:rFonts w:hint="eastAsia" w:ascii="Times New Roman" w:hAnsi="Times New Roman" w:eastAsia="仿宋_GB2312" w:cs="Times New Roman"/>
          <w:sz w:val="32"/>
          <w:szCs w:val="32"/>
        </w:rPr>
        <w:t>提出</w:t>
      </w:r>
      <w:r>
        <w:rPr>
          <w:rFonts w:hint="eastAsia" w:ascii="Times New Roman" w:hAnsi="Times New Roman" w:eastAsia="仿宋_GB2312" w:cs="Times New Roman"/>
          <w:sz w:val="32"/>
          <w:szCs w:val="32"/>
          <w:lang w:eastAsia="zh-CN"/>
        </w:rPr>
        <w:t>落实宅基地所有权、保障农户资格权和农民房屋财产权、适度放活宅基地和农民房屋使用权</w:t>
      </w:r>
      <w:r>
        <w:rPr>
          <w:rFonts w:hint="eastAsia" w:ascii="Times New Roman" w:hAnsi="Times New Roman" w:eastAsia="仿宋_GB2312" w:cs="Times New Roman"/>
          <w:sz w:val="32"/>
          <w:szCs w:val="32"/>
        </w:rPr>
        <w:t>的政策建议。</w:t>
      </w:r>
    </w:p>
    <w:p>
      <w:pPr>
        <w:pBdr>
          <w:top w:val="none" w:color="auto" w:sz="0" w:space="1"/>
          <w:left w:val="none" w:color="auto" w:sz="0" w:space="4"/>
          <w:bottom w:val="none" w:color="auto" w:sz="0" w:space="1"/>
          <w:right w:val="none" w:color="auto" w:sz="0" w:space="4"/>
          <w:between w:val="none" w:color="auto" w:sz="0" w:space="0"/>
        </w:pBdr>
        <w:spacing w:line="600"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val="en-US" w:eastAsia="zh-CN"/>
        </w:rPr>
        <w:t>28</w:t>
      </w:r>
      <w:r>
        <w:rPr>
          <w:rFonts w:ascii="Times New Roman" w:hAnsi="Times New Roman" w:eastAsia="楷体_GB2312" w:cs="Times New Roman"/>
          <w:b/>
          <w:sz w:val="32"/>
          <w:szCs w:val="32"/>
        </w:rPr>
        <w:t>.</w:t>
      </w:r>
      <w:r>
        <w:rPr>
          <w:rFonts w:hint="eastAsia" w:ascii="Times New Roman" w:hAnsi="Times New Roman" w:eastAsia="楷体_GB2312" w:cs="Times New Roman"/>
          <w:b/>
          <w:sz w:val="32"/>
          <w:szCs w:val="32"/>
        </w:rPr>
        <w:t>依法规范和引导资本下乡研究</w:t>
      </w:r>
    </w:p>
    <w:p>
      <w:pPr>
        <w:pBdr>
          <w:top w:val="none" w:color="auto" w:sz="0" w:space="1"/>
          <w:left w:val="none" w:color="auto" w:sz="0" w:space="4"/>
          <w:bottom w:val="none" w:color="auto" w:sz="0" w:space="1"/>
          <w:right w:val="none" w:color="auto" w:sz="0" w:space="4"/>
          <w:between w:val="none" w:color="auto" w:sz="0" w:space="0"/>
        </w:pBdr>
        <w:spacing w:line="600" w:lineRule="exact"/>
        <w:ind w:firstLine="640" w:firstLineChars="20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通过深入调研</w:t>
      </w:r>
      <w:r>
        <w:rPr>
          <w:rFonts w:hint="eastAsia" w:ascii="Times New Roman" w:hAnsi="Times New Roman" w:eastAsia="仿宋_GB2312" w:cs="Times New Roman"/>
          <w:sz w:val="32"/>
          <w:szCs w:val="32"/>
        </w:rPr>
        <w:t>，总结分析资本下乡</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lang w:eastAsia="zh-CN"/>
        </w:rPr>
        <w:t>成效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暴露出</w:t>
      </w:r>
      <w:r>
        <w:rPr>
          <w:rFonts w:hint="eastAsia" w:ascii="Times New Roman" w:hAnsi="Times New Roman" w:eastAsia="仿宋_GB2312" w:cs="Times New Roman"/>
          <w:sz w:val="32"/>
          <w:szCs w:val="32"/>
        </w:rPr>
        <w:t>的</w:t>
      </w:r>
      <w:r>
        <w:rPr>
          <w:rFonts w:hint="default" w:ascii="Times New Roman" w:hAnsi="Times New Roman" w:eastAsia="仿宋_GB2312" w:cs="Times New Roman"/>
          <w:sz w:val="32"/>
          <w:szCs w:val="32"/>
        </w:rPr>
        <w:t>风险和</w:t>
      </w:r>
      <w:r>
        <w:rPr>
          <w:rFonts w:hint="eastAsia" w:ascii="Times New Roman" w:hAnsi="Times New Roman" w:eastAsia="仿宋_GB2312" w:cs="Times New Roman"/>
          <w:sz w:val="32"/>
          <w:szCs w:val="32"/>
        </w:rPr>
        <w:t>问题</w:t>
      </w:r>
      <w:r>
        <w:rPr>
          <w:rFonts w:hint="default" w:ascii="Times New Roman" w:hAnsi="Times New Roman" w:eastAsia="仿宋_GB2312" w:cs="Times New Roman"/>
          <w:sz w:val="32"/>
          <w:szCs w:val="32"/>
        </w:rPr>
        <w:t>，下乡资本</w:t>
      </w:r>
      <w:r>
        <w:rPr>
          <w:rFonts w:hint="eastAsia" w:ascii="Times New Roman" w:hAnsi="Times New Roman" w:eastAsia="仿宋_GB2312" w:cs="Times New Roman"/>
          <w:sz w:val="32"/>
          <w:szCs w:val="32"/>
        </w:rPr>
        <w:t>面临的</w:t>
      </w:r>
      <w:r>
        <w:rPr>
          <w:rFonts w:hint="default" w:ascii="Times New Roman" w:hAnsi="Times New Roman" w:eastAsia="仿宋_GB2312" w:cs="Times New Roman"/>
          <w:sz w:val="32"/>
          <w:szCs w:val="32"/>
        </w:rPr>
        <w:t>主要</w:t>
      </w:r>
      <w:r>
        <w:rPr>
          <w:rFonts w:hint="eastAsia" w:ascii="Times New Roman" w:hAnsi="Times New Roman" w:eastAsia="仿宋_GB2312" w:cs="Times New Roman"/>
          <w:sz w:val="32"/>
          <w:szCs w:val="32"/>
        </w:rPr>
        <w:t>困难，就</w:t>
      </w:r>
      <w:r>
        <w:rPr>
          <w:rFonts w:hint="default" w:ascii="Times New Roman" w:hAnsi="Times New Roman" w:eastAsia="仿宋_GB2312" w:cs="Times New Roman"/>
          <w:sz w:val="32"/>
          <w:szCs w:val="32"/>
        </w:rPr>
        <w:t>依法</w:t>
      </w:r>
      <w:r>
        <w:rPr>
          <w:rFonts w:hint="eastAsia" w:ascii="Times New Roman" w:hAnsi="Times New Roman" w:eastAsia="仿宋_GB2312" w:cs="Times New Roman"/>
          <w:sz w:val="32"/>
          <w:szCs w:val="32"/>
        </w:rPr>
        <w:t>加强资本下乡</w:t>
      </w:r>
      <w:r>
        <w:rPr>
          <w:rFonts w:hint="default" w:ascii="Times New Roman" w:hAnsi="Times New Roman" w:eastAsia="仿宋_GB2312" w:cs="Times New Roman"/>
          <w:sz w:val="32"/>
          <w:szCs w:val="32"/>
        </w:rPr>
        <w:t>事前事中事后</w:t>
      </w:r>
      <w:r>
        <w:rPr>
          <w:rFonts w:hint="eastAsia" w:ascii="Times New Roman" w:hAnsi="Times New Roman" w:eastAsia="仿宋_GB2312" w:cs="Times New Roman"/>
          <w:sz w:val="32"/>
          <w:szCs w:val="32"/>
        </w:rPr>
        <w:t>全过程监管</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改善</w:t>
      </w:r>
      <w:r>
        <w:rPr>
          <w:rFonts w:hint="default" w:ascii="Times New Roman" w:hAnsi="Times New Roman" w:eastAsia="仿宋_GB2312" w:cs="Times New Roman"/>
          <w:sz w:val="32"/>
          <w:szCs w:val="32"/>
        </w:rPr>
        <w:t>农村</w:t>
      </w:r>
      <w:r>
        <w:rPr>
          <w:rFonts w:hint="eastAsia" w:ascii="Times New Roman" w:hAnsi="Times New Roman" w:eastAsia="仿宋_GB2312" w:cs="Times New Roman"/>
          <w:sz w:val="32"/>
          <w:szCs w:val="32"/>
        </w:rPr>
        <w:t>营商环境</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稳定资本下乡政策预期</w:t>
      </w:r>
      <w:r>
        <w:rPr>
          <w:rFonts w:hint="default" w:ascii="Times New Roman" w:hAnsi="Times New Roman" w:eastAsia="仿宋_GB2312" w:cs="Times New Roman"/>
          <w:sz w:val="32"/>
          <w:szCs w:val="32"/>
        </w:rPr>
        <w:t>、更好发挥社会资本作用，</w:t>
      </w:r>
      <w:r>
        <w:rPr>
          <w:rFonts w:hint="eastAsia" w:ascii="Times New Roman" w:hAnsi="Times New Roman" w:eastAsia="仿宋_GB2312" w:cs="Times New Roman"/>
          <w:sz w:val="32"/>
          <w:szCs w:val="32"/>
        </w:rPr>
        <w:t>提出针对性政策建议。</w:t>
      </w:r>
    </w:p>
    <w:p>
      <w:pPr>
        <w:pBdr>
          <w:top w:val="none" w:color="auto" w:sz="0" w:space="1"/>
          <w:left w:val="none" w:color="auto" w:sz="0" w:space="4"/>
          <w:bottom w:val="none" w:color="auto" w:sz="0" w:space="1"/>
          <w:right w:val="none" w:color="auto" w:sz="0" w:space="4"/>
          <w:between w:val="none" w:color="auto" w:sz="0" w:space="0"/>
        </w:pBdr>
        <w:spacing w:line="600" w:lineRule="exact"/>
        <w:ind w:firstLine="643" w:firstLineChars="200"/>
        <w:rPr>
          <w:rFonts w:ascii="Times New Roman" w:hAnsi="Times New Roman" w:eastAsia="楷体_GB2312" w:cs="Times New Roman"/>
          <w:b/>
          <w:strike w:val="0"/>
          <w:sz w:val="32"/>
          <w:szCs w:val="32"/>
        </w:rPr>
      </w:pPr>
      <w:r>
        <w:rPr>
          <w:rFonts w:hint="eastAsia" w:ascii="Times New Roman" w:hAnsi="Times New Roman" w:eastAsia="楷体_GB2312" w:cs="Times New Roman"/>
          <w:b/>
          <w:strike w:val="0"/>
          <w:sz w:val="32"/>
          <w:szCs w:val="32"/>
          <w:lang w:val="en-US" w:eastAsia="zh-CN"/>
        </w:rPr>
        <w:t>29</w:t>
      </w:r>
      <w:r>
        <w:rPr>
          <w:rFonts w:ascii="Times New Roman" w:hAnsi="Times New Roman" w:eastAsia="楷体_GB2312" w:cs="Times New Roman"/>
          <w:b/>
          <w:strike w:val="0"/>
          <w:sz w:val="32"/>
          <w:szCs w:val="32"/>
        </w:rPr>
        <w:t>.提升农业科技创新体系整体效能研究</w:t>
      </w:r>
    </w:p>
    <w:p>
      <w:pPr>
        <w:pBdr>
          <w:top w:val="none" w:color="auto" w:sz="0" w:space="1"/>
          <w:left w:val="none" w:color="auto" w:sz="0" w:space="4"/>
          <w:bottom w:val="none" w:color="auto" w:sz="0" w:space="1"/>
          <w:right w:val="none" w:color="auto" w:sz="0" w:space="4"/>
          <w:between w:val="none" w:color="auto" w:sz="0" w:space="0"/>
        </w:pBdr>
        <w:spacing w:line="600" w:lineRule="exact"/>
        <w:ind w:firstLine="640" w:firstLineChars="200"/>
        <w:rPr>
          <w:rFonts w:hint="eastAsia" w:ascii="Times New Roman" w:hAnsi="Times New Roman" w:eastAsia="仿宋_GB2312" w:cs="Times New Roman"/>
          <w:b w:val="0"/>
          <w:strike w:val="0"/>
          <w:sz w:val="32"/>
          <w:szCs w:val="32"/>
        </w:rPr>
      </w:pPr>
      <w:r>
        <w:rPr>
          <w:rFonts w:hint="eastAsia" w:ascii="仿宋_GB2312" w:hAnsi="仿宋_GB2312" w:eastAsia="仿宋_GB2312" w:cs="仿宋_GB2312"/>
          <w:b w:val="0"/>
          <w:strike w:val="0"/>
          <w:sz w:val="32"/>
          <w:szCs w:val="32"/>
        </w:rPr>
        <w:t>全面梳理分析我国农业科技创新体系存在的突出问题，围绕发挥新型举国体制优势、整合各级各类优势科研资源、强化企业科技创新主体地位、构建“梯次分明、分工协作、适度竞争”的农业科技创新体系，提出对策建议。</w:t>
      </w:r>
    </w:p>
    <w:p>
      <w:pPr>
        <w:pBdr>
          <w:top w:val="none" w:color="auto" w:sz="0" w:space="1"/>
          <w:left w:val="none" w:color="auto" w:sz="0" w:space="4"/>
          <w:bottom w:val="none" w:color="auto" w:sz="0" w:space="1"/>
          <w:right w:val="none" w:color="auto" w:sz="0" w:space="4"/>
          <w:between w:val="none" w:color="auto" w:sz="0" w:space="0"/>
        </w:pBdr>
        <w:spacing w:line="600" w:lineRule="exact"/>
        <w:ind w:firstLine="643" w:firstLineChars="200"/>
        <w:rPr>
          <w:rFonts w:ascii="Times New Roman" w:hAnsi="Times New Roman" w:eastAsia="楷体_GB2312" w:cs="Times New Roman"/>
          <w:b/>
          <w:strike w:val="0"/>
          <w:sz w:val="32"/>
          <w:szCs w:val="32"/>
        </w:rPr>
      </w:pPr>
      <w:r>
        <w:rPr>
          <w:rFonts w:hint="eastAsia" w:ascii="Times New Roman" w:hAnsi="Times New Roman" w:eastAsia="楷体_GB2312" w:cs="Times New Roman"/>
          <w:b/>
          <w:strike w:val="0"/>
          <w:sz w:val="32"/>
          <w:szCs w:val="32"/>
          <w:lang w:val="en-US" w:eastAsia="zh-CN"/>
        </w:rPr>
        <w:t>30</w:t>
      </w:r>
      <w:r>
        <w:rPr>
          <w:rFonts w:ascii="Times New Roman" w:hAnsi="Times New Roman" w:eastAsia="楷体_GB2312" w:cs="Times New Roman"/>
          <w:b/>
          <w:strike w:val="0"/>
          <w:sz w:val="32"/>
          <w:szCs w:val="32"/>
        </w:rPr>
        <w:t>.</w:t>
      </w:r>
      <w:r>
        <w:rPr>
          <w:rFonts w:hint="eastAsia" w:ascii="Times New Roman" w:hAnsi="Times New Roman" w:eastAsia="楷体_GB2312" w:cs="Times New Roman"/>
          <w:b/>
          <w:strike w:val="0"/>
          <w:sz w:val="32"/>
          <w:szCs w:val="32"/>
          <w:lang w:eastAsia="zh-CN"/>
        </w:rPr>
        <w:t>新型农业经营主体</w:t>
      </w:r>
      <w:r>
        <w:rPr>
          <w:rFonts w:hint="eastAsia" w:ascii="Times New Roman" w:hAnsi="Times New Roman" w:eastAsia="楷体_GB2312" w:cs="Times New Roman"/>
          <w:b/>
          <w:strike w:val="0"/>
          <w:sz w:val="32"/>
          <w:szCs w:val="32"/>
        </w:rPr>
        <w:t>金融</w:t>
      </w:r>
      <w:r>
        <w:rPr>
          <w:rFonts w:hint="eastAsia" w:ascii="Times New Roman" w:hAnsi="Times New Roman" w:eastAsia="楷体_GB2312" w:cs="Times New Roman"/>
          <w:b/>
          <w:strike w:val="0"/>
          <w:sz w:val="32"/>
          <w:szCs w:val="32"/>
          <w:lang w:eastAsia="zh-CN"/>
        </w:rPr>
        <w:t>支持</w:t>
      </w:r>
      <w:r>
        <w:rPr>
          <w:rFonts w:hint="eastAsia" w:ascii="Times New Roman" w:hAnsi="Times New Roman" w:eastAsia="楷体_GB2312" w:cs="Times New Roman"/>
          <w:b/>
          <w:strike w:val="0"/>
          <w:sz w:val="32"/>
          <w:szCs w:val="32"/>
        </w:rPr>
        <w:t>政策</w:t>
      </w:r>
      <w:r>
        <w:rPr>
          <w:rFonts w:hint="eastAsia" w:ascii="Times New Roman" w:hAnsi="Times New Roman" w:eastAsia="楷体_GB2312" w:cs="Times New Roman"/>
          <w:b/>
          <w:strike w:val="0"/>
          <w:sz w:val="32"/>
          <w:szCs w:val="32"/>
          <w:lang w:eastAsia="zh-CN"/>
        </w:rPr>
        <w:t>创新</w:t>
      </w:r>
      <w:r>
        <w:rPr>
          <w:rFonts w:hint="eastAsia" w:ascii="Times New Roman" w:hAnsi="Times New Roman" w:eastAsia="楷体_GB2312" w:cs="Times New Roman"/>
          <w:b/>
          <w:strike w:val="0"/>
          <w:sz w:val="32"/>
          <w:szCs w:val="32"/>
        </w:rPr>
        <w:t>研究</w:t>
      </w:r>
    </w:p>
    <w:p>
      <w:pPr>
        <w:pBdr>
          <w:top w:val="none" w:color="auto" w:sz="0" w:space="1"/>
          <w:left w:val="none" w:color="auto" w:sz="0" w:space="4"/>
          <w:bottom w:val="none" w:color="auto" w:sz="0" w:space="1"/>
          <w:right w:val="none" w:color="auto" w:sz="0" w:space="4"/>
          <w:between w:val="none" w:color="auto" w:sz="0" w:space="0"/>
        </w:pBdr>
        <w:spacing w:line="600" w:lineRule="exact"/>
        <w:ind w:firstLine="640" w:firstLineChars="200"/>
        <w:rPr>
          <w:rFonts w:ascii="Times New Roman" w:hAnsi="Times New Roman" w:eastAsia="仿宋_GB2312" w:cs="Times New Roman"/>
          <w:strike w:val="0"/>
          <w:sz w:val="32"/>
          <w:szCs w:val="32"/>
        </w:rPr>
      </w:pPr>
      <w:r>
        <w:rPr>
          <w:rFonts w:hint="eastAsia" w:ascii="Times New Roman" w:hAnsi="Times New Roman" w:eastAsia="仿宋_GB2312" w:cs="Times New Roman"/>
          <w:strike w:val="0"/>
          <w:sz w:val="32"/>
          <w:szCs w:val="32"/>
        </w:rPr>
        <w:t>系统评价当前</w:t>
      </w:r>
      <w:r>
        <w:rPr>
          <w:rFonts w:hint="eastAsia" w:ascii="Times New Roman" w:hAnsi="Times New Roman" w:eastAsia="仿宋_GB2312" w:cs="Times New Roman"/>
          <w:strike w:val="0"/>
          <w:sz w:val="32"/>
          <w:szCs w:val="32"/>
          <w:lang w:eastAsia="zh-CN"/>
        </w:rPr>
        <w:t>新型农业经营主体</w:t>
      </w:r>
      <w:r>
        <w:rPr>
          <w:rFonts w:hint="eastAsia" w:ascii="Times New Roman" w:hAnsi="Times New Roman" w:eastAsia="仿宋_GB2312" w:cs="Times New Roman"/>
          <w:strike w:val="0"/>
          <w:sz w:val="32"/>
          <w:szCs w:val="32"/>
        </w:rPr>
        <w:t>金融</w:t>
      </w:r>
      <w:r>
        <w:rPr>
          <w:rFonts w:hint="eastAsia" w:ascii="Times New Roman" w:hAnsi="Times New Roman" w:eastAsia="仿宋_GB2312" w:cs="Times New Roman"/>
          <w:strike w:val="0"/>
          <w:sz w:val="32"/>
          <w:szCs w:val="32"/>
          <w:lang w:eastAsia="zh-CN"/>
        </w:rPr>
        <w:t>支持</w:t>
      </w:r>
      <w:r>
        <w:rPr>
          <w:rFonts w:hint="eastAsia" w:ascii="Times New Roman" w:hAnsi="Times New Roman" w:eastAsia="仿宋_GB2312" w:cs="Times New Roman"/>
          <w:strike w:val="0"/>
          <w:sz w:val="32"/>
          <w:szCs w:val="32"/>
        </w:rPr>
        <w:t>政策的执行效果，深入剖析存在的问题及原因，研究提出破解新型农业经营主体</w:t>
      </w:r>
      <w:r>
        <w:rPr>
          <w:rFonts w:hint="default" w:ascii="Times New Roman" w:hAnsi="Times New Roman" w:eastAsia="仿宋_GB2312" w:cs="Times New Roman"/>
          <w:strike w:val="0"/>
          <w:sz w:val="32"/>
          <w:szCs w:val="32"/>
        </w:rPr>
        <w:t>融资难、融资贵、融资慢等</w:t>
      </w:r>
      <w:r>
        <w:rPr>
          <w:rFonts w:hint="eastAsia" w:ascii="Times New Roman" w:hAnsi="Times New Roman" w:eastAsia="仿宋_GB2312" w:cs="Times New Roman"/>
          <w:strike w:val="0"/>
          <w:sz w:val="32"/>
          <w:szCs w:val="32"/>
        </w:rPr>
        <w:t>问题的</w:t>
      </w:r>
      <w:r>
        <w:rPr>
          <w:rFonts w:hint="default" w:ascii="Times New Roman" w:hAnsi="Times New Roman" w:eastAsia="仿宋_GB2312" w:cs="Times New Roman"/>
          <w:strike w:val="0"/>
          <w:sz w:val="32"/>
          <w:szCs w:val="32"/>
        </w:rPr>
        <w:t>对策</w:t>
      </w:r>
      <w:r>
        <w:rPr>
          <w:rFonts w:hint="eastAsia" w:ascii="Times New Roman" w:hAnsi="Times New Roman" w:eastAsia="仿宋_GB2312" w:cs="Times New Roman"/>
          <w:strike w:val="0"/>
          <w:sz w:val="32"/>
          <w:szCs w:val="32"/>
        </w:rPr>
        <w:t>思路和具体政策建议。</w:t>
      </w:r>
    </w:p>
    <w:p>
      <w:pPr>
        <w:pBdr>
          <w:top w:val="none" w:color="auto" w:sz="0" w:space="1"/>
          <w:left w:val="none" w:color="auto" w:sz="0" w:space="4"/>
          <w:bottom w:val="none" w:color="auto" w:sz="0" w:space="1"/>
          <w:right w:val="none" w:color="auto" w:sz="0" w:space="4"/>
          <w:between w:val="none" w:color="auto" w:sz="0" w:space="0"/>
        </w:pBdr>
        <w:spacing w:line="600" w:lineRule="exact"/>
        <w:ind w:firstLine="643" w:firstLineChars="200"/>
        <w:rPr>
          <w:rFonts w:hint="eastAsia" w:ascii="Times New Roman" w:hAnsi="Times New Roman" w:eastAsia="楷体_GB2312" w:cs="Times New Roman"/>
          <w:b/>
          <w:sz w:val="32"/>
          <w:szCs w:val="32"/>
          <w:lang w:val="en-US" w:eastAsia="zh-CN"/>
        </w:rPr>
      </w:pPr>
      <w:r>
        <w:rPr>
          <w:rFonts w:hint="eastAsia" w:ascii="Times New Roman" w:hAnsi="Times New Roman" w:eastAsia="楷体_GB2312" w:cs="Times New Roman"/>
          <w:b/>
          <w:sz w:val="32"/>
          <w:szCs w:val="32"/>
          <w:lang w:val="en-US" w:eastAsia="zh-CN"/>
        </w:rPr>
        <w:t>31.</w:t>
      </w:r>
      <w:r>
        <w:rPr>
          <w:rFonts w:hint="default" w:ascii="Times New Roman" w:hAnsi="Times New Roman" w:eastAsia="楷体_GB2312" w:cs="Times New Roman"/>
          <w:b/>
          <w:sz w:val="32"/>
          <w:szCs w:val="32"/>
          <w:lang w:eastAsia="zh-CN"/>
        </w:rPr>
        <w:t>加强重要农业</w:t>
      </w:r>
      <w:r>
        <w:rPr>
          <w:rFonts w:hint="eastAsia" w:ascii="Times New Roman" w:hAnsi="Times New Roman" w:eastAsia="楷体_GB2312" w:cs="Times New Roman"/>
          <w:b/>
          <w:sz w:val="32"/>
          <w:szCs w:val="32"/>
          <w:lang w:val="en-US" w:eastAsia="zh-CN"/>
        </w:rPr>
        <w:t>文化遗产保护</w:t>
      </w:r>
      <w:r>
        <w:rPr>
          <w:rFonts w:hint="default" w:ascii="Times New Roman" w:hAnsi="Times New Roman" w:eastAsia="楷体_GB2312" w:cs="Times New Roman"/>
          <w:b/>
          <w:sz w:val="32"/>
          <w:szCs w:val="32"/>
          <w:lang w:eastAsia="zh-CN"/>
        </w:rPr>
        <w:t>利用</w:t>
      </w:r>
      <w:r>
        <w:rPr>
          <w:rFonts w:hint="eastAsia" w:ascii="Times New Roman" w:hAnsi="Times New Roman" w:eastAsia="楷体_GB2312" w:cs="Times New Roman"/>
          <w:b/>
          <w:sz w:val="32"/>
          <w:szCs w:val="32"/>
          <w:lang w:val="en-US" w:eastAsia="zh-CN"/>
        </w:rPr>
        <w:t>研究</w:t>
      </w:r>
    </w:p>
    <w:p>
      <w:pPr>
        <w:pBdr>
          <w:top w:val="none" w:color="auto" w:sz="0" w:space="1"/>
          <w:left w:val="none" w:color="auto" w:sz="0" w:space="4"/>
          <w:bottom w:val="none" w:color="auto" w:sz="0" w:space="1"/>
          <w:right w:val="none" w:color="auto" w:sz="0" w:space="4"/>
          <w:between w:val="none" w:color="auto" w:sz="0" w:space="0"/>
        </w:pBdr>
        <w:spacing w:line="600" w:lineRule="exact"/>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全面梳理</w:t>
      </w:r>
      <w:r>
        <w:rPr>
          <w:rFonts w:hint="eastAsia" w:ascii="Times New Roman" w:hAnsi="Times New Roman" w:eastAsia="仿宋_GB2312" w:cs="Times New Roman"/>
          <w:sz w:val="32"/>
          <w:szCs w:val="32"/>
          <w:lang w:val="en-US" w:eastAsia="zh-CN"/>
        </w:rPr>
        <w:t>我国不同类型农业文化遗产申报认定、保护利用的现状与问题，</w:t>
      </w:r>
      <w:r>
        <w:rPr>
          <w:rFonts w:hint="default" w:ascii="Times New Roman" w:hAnsi="Times New Roman" w:eastAsia="仿宋_GB2312" w:cs="Times New Roman"/>
          <w:sz w:val="32"/>
          <w:szCs w:val="32"/>
          <w:lang w:eastAsia="zh-CN"/>
        </w:rPr>
        <w:t>坚持在发掘中保护、在利用中传承，</w:t>
      </w:r>
      <w:r>
        <w:rPr>
          <w:rFonts w:hint="eastAsia" w:ascii="Times New Roman" w:hAnsi="Times New Roman" w:eastAsia="仿宋_GB2312" w:cs="Times New Roman"/>
          <w:sz w:val="32"/>
          <w:szCs w:val="32"/>
          <w:lang w:val="en-US" w:eastAsia="zh-CN"/>
        </w:rPr>
        <w:t>借鉴国内外先进经验，就</w:t>
      </w:r>
      <w:r>
        <w:rPr>
          <w:rFonts w:hint="default" w:ascii="Times New Roman" w:hAnsi="Times New Roman" w:eastAsia="仿宋_GB2312" w:cs="Times New Roman"/>
          <w:sz w:val="32"/>
          <w:szCs w:val="32"/>
          <w:lang w:eastAsia="zh-CN"/>
        </w:rPr>
        <w:t>不断推进我国农业文化遗产保护实践</w:t>
      </w:r>
      <w:r>
        <w:rPr>
          <w:rFonts w:hint="eastAsia" w:ascii="Times New Roman" w:hAnsi="Times New Roman" w:eastAsia="仿宋_GB2312" w:cs="Times New Roman"/>
          <w:sz w:val="32"/>
          <w:szCs w:val="32"/>
          <w:lang w:val="en-US" w:eastAsia="zh-CN"/>
        </w:rPr>
        <w:t>提出</w:t>
      </w:r>
      <w:r>
        <w:rPr>
          <w:rFonts w:hint="default" w:ascii="Times New Roman" w:hAnsi="Times New Roman" w:eastAsia="仿宋_GB2312" w:cs="Times New Roman"/>
          <w:sz w:val="32"/>
          <w:szCs w:val="32"/>
          <w:lang w:eastAsia="zh-CN"/>
        </w:rPr>
        <w:t>针对性</w:t>
      </w:r>
      <w:r>
        <w:rPr>
          <w:rFonts w:hint="eastAsia" w:ascii="Times New Roman" w:hAnsi="Times New Roman" w:eastAsia="仿宋_GB2312" w:cs="Times New Roman"/>
          <w:sz w:val="32"/>
          <w:szCs w:val="32"/>
          <w:lang w:val="en-US" w:eastAsia="zh-CN"/>
        </w:rPr>
        <w:t>政策建议。</w:t>
      </w:r>
    </w:p>
    <w:p>
      <w:pPr>
        <w:pBdr>
          <w:top w:val="none" w:color="auto" w:sz="0" w:space="1"/>
          <w:left w:val="none" w:color="auto" w:sz="0" w:space="4"/>
          <w:bottom w:val="none" w:color="auto" w:sz="0" w:space="1"/>
          <w:right w:val="none" w:color="auto" w:sz="0" w:space="4"/>
          <w:between w:val="none" w:color="auto" w:sz="0" w:space="0"/>
        </w:pBdr>
        <w:spacing w:line="600" w:lineRule="exact"/>
        <w:ind w:firstLine="643" w:firstLineChars="200"/>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3</w:t>
      </w:r>
      <w:r>
        <w:rPr>
          <w:rFonts w:hint="eastAsia" w:ascii="Times New Roman" w:hAnsi="Times New Roman" w:eastAsia="楷体_GB2312" w:cs="Times New Roman"/>
          <w:b/>
          <w:bCs/>
          <w:sz w:val="32"/>
          <w:szCs w:val="32"/>
          <w:lang w:val="en-US" w:eastAsia="zh-CN"/>
        </w:rPr>
        <w:t>2</w:t>
      </w:r>
      <w:r>
        <w:rPr>
          <w:rFonts w:hint="default" w:ascii="Times New Roman" w:hAnsi="Times New Roman" w:eastAsia="楷体_GB2312" w:cs="Times New Roman"/>
          <w:b/>
          <w:bCs/>
          <w:sz w:val="32"/>
          <w:szCs w:val="32"/>
          <w:lang w:val="en-US" w:eastAsia="zh-CN"/>
        </w:rPr>
        <w:t>.</w:t>
      </w:r>
      <w:r>
        <w:rPr>
          <w:rFonts w:hint="default" w:ascii="Times New Roman" w:hAnsi="Times New Roman" w:eastAsia="楷体_GB2312" w:cs="Times New Roman"/>
          <w:b/>
          <w:bCs/>
          <w:sz w:val="32"/>
          <w:szCs w:val="32"/>
          <w:lang w:eastAsia="zh-CN"/>
        </w:rPr>
        <w:t>完善</w:t>
      </w:r>
      <w:r>
        <w:rPr>
          <w:rFonts w:hint="default" w:ascii="Times New Roman" w:hAnsi="Times New Roman" w:eastAsia="楷体_GB2312" w:cs="Times New Roman"/>
          <w:b/>
          <w:bCs/>
          <w:sz w:val="32"/>
          <w:szCs w:val="32"/>
          <w:lang w:val="en-US" w:eastAsia="zh-CN"/>
        </w:rPr>
        <w:t>人才下乡</w:t>
      </w:r>
      <w:r>
        <w:rPr>
          <w:rFonts w:hint="default" w:ascii="Times New Roman" w:hAnsi="Times New Roman" w:eastAsia="楷体_GB2312" w:cs="Times New Roman"/>
          <w:b/>
          <w:bCs/>
          <w:sz w:val="32"/>
          <w:szCs w:val="32"/>
          <w:lang w:eastAsia="zh-CN"/>
        </w:rPr>
        <w:t>入乡</w:t>
      </w:r>
      <w:r>
        <w:rPr>
          <w:rFonts w:hint="default" w:ascii="Times New Roman" w:hAnsi="Times New Roman" w:eastAsia="楷体_GB2312" w:cs="Times New Roman"/>
          <w:b/>
          <w:bCs/>
          <w:sz w:val="32"/>
          <w:szCs w:val="32"/>
          <w:lang w:val="en-US" w:eastAsia="zh-CN"/>
        </w:rPr>
        <w:t>政策保障</w:t>
      </w:r>
      <w:r>
        <w:rPr>
          <w:rFonts w:hint="default" w:ascii="Times New Roman" w:hAnsi="Times New Roman" w:eastAsia="楷体_GB2312" w:cs="Times New Roman"/>
          <w:b/>
          <w:bCs/>
          <w:sz w:val="32"/>
          <w:szCs w:val="32"/>
          <w:lang w:eastAsia="zh-CN"/>
        </w:rPr>
        <w:t>机制</w:t>
      </w:r>
      <w:r>
        <w:rPr>
          <w:rFonts w:hint="default" w:ascii="Times New Roman" w:hAnsi="Times New Roman" w:eastAsia="楷体_GB2312" w:cs="Times New Roman"/>
          <w:b/>
          <w:bCs/>
          <w:sz w:val="32"/>
          <w:szCs w:val="32"/>
          <w:lang w:val="en-US" w:eastAsia="zh-CN"/>
        </w:rPr>
        <w:t>研究</w:t>
      </w:r>
    </w:p>
    <w:p>
      <w:pPr>
        <w:numPr>
          <w:ilvl w:val="-1"/>
          <w:numId w:val="0"/>
        </w:numPr>
        <w:pBdr>
          <w:top w:val="none" w:color="auto" w:sz="0" w:space="1"/>
          <w:left w:val="none" w:color="auto" w:sz="0" w:space="4"/>
          <w:bottom w:val="none" w:color="auto" w:sz="0" w:space="1"/>
          <w:right w:val="none" w:color="auto" w:sz="0" w:space="4"/>
          <w:between w:val="none" w:color="auto" w:sz="0" w:space="0"/>
        </w:pBdr>
        <w:spacing w:line="600" w:lineRule="exact"/>
        <w:ind w:firstLine="640" w:firstLineChars="200"/>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通过深入调研，系统梳理</w:t>
      </w:r>
      <w:r>
        <w:rPr>
          <w:rFonts w:hint="eastAsia" w:ascii="Times New Roman" w:hAnsi="Times New Roman" w:eastAsia="仿宋_GB2312" w:cs="Times New Roman"/>
          <w:sz w:val="32"/>
          <w:szCs w:val="32"/>
          <w:lang w:val="en-US" w:eastAsia="zh-CN"/>
        </w:rPr>
        <w:t>大学毕业生到乡、能人回乡、农民工返乡、企业家入乡</w:t>
      </w:r>
      <w:r>
        <w:rPr>
          <w:rFonts w:hint="default" w:ascii="Times New Roman" w:hAnsi="Times New Roman" w:eastAsia="仿宋_GB2312" w:cs="Times New Roman"/>
          <w:sz w:val="32"/>
          <w:szCs w:val="32"/>
          <w:lang w:eastAsia="zh-CN"/>
        </w:rPr>
        <w:t>的现状和问题，按照本土培养和外部引进相结合的思路，树立阶段性用才理念，提出</w:t>
      </w:r>
      <w:r>
        <w:rPr>
          <w:rFonts w:hint="eastAsia" w:ascii="Times New Roman" w:hAnsi="Times New Roman" w:eastAsia="仿宋_GB2312" w:cs="Times New Roman"/>
          <w:sz w:val="32"/>
          <w:szCs w:val="32"/>
          <w:lang w:val="en-US" w:eastAsia="zh-CN"/>
        </w:rPr>
        <w:t>有序引导和激励</w:t>
      </w:r>
      <w:r>
        <w:rPr>
          <w:rFonts w:hint="default" w:ascii="Times New Roman" w:hAnsi="Times New Roman" w:eastAsia="仿宋_GB2312" w:cs="Times New Roman"/>
          <w:sz w:val="32"/>
          <w:szCs w:val="32"/>
          <w:lang w:eastAsia="zh-CN"/>
        </w:rPr>
        <w:t>各类人才下乡入乡</w:t>
      </w:r>
      <w:r>
        <w:rPr>
          <w:rFonts w:hint="eastAsia" w:ascii="Times New Roman" w:hAnsi="Times New Roman" w:eastAsia="仿宋_GB2312" w:cs="Times New Roman"/>
          <w:sz w:val="32"/>
          <w:szCs w:val="32"/>
          <w:lang w:val="en-US" w:eastAsia="zh-CN"/>
        </w:rPr>
        <w:t>的有效路径和政策机制。</w:t>
      </w:r>
    </w:p>
    <w:p>
      <w:pPr>
        <w:numPr>
          <w:ilvl w:val="0"/>
          <w:numId w:val="0"/>
        </w:numPr>
        <w:pBdr>
          <w:top w:val="none" w:color="auto" w:sz="0" w:space="1"/>
          <w:left w:val="none" w:color="auto" w:sz="0" w:space="4"/>
          <w:bottom w:val="none" w:color="auto" w:sz="0" w:space="1"/>
          <w:right w:val="none" w:color="auto" w:sz="0" w:space="4"/>
          <w:between w:val="none" w:color="auto" w:sz="0" w:space="0"/>
        </w:pBdr>
        <w:spacing w:line="600" w:lineRule="exact"/>
        <w:ind w:firstLine="643" w:firstLineChars="200"/>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3</w:t>
      </w:r>
      <w:r>
        <w:rPr>
          <w:rFonts w:hint="eastAsia" w:ascii="Times New Roman" w:hAnsi="Times New Roman" w:eastAsia="楷体_GB2312" w:cs="Times New Roman"/>
          <w:b/>
          <w:bCs/>
          <w:sz w:val="32"/>
          <w:szCs w:val="32"/>
          <w:lang w:val="en-US" w:eastAsia="zh-CN"/>
        </w:rPr>
        <w:t>3</w:t>
      </w:r>
      <w:r>
        <w:rPr>
          <w:rFonts w:hint="default" w:ascii="Times New Roman" w:hAnsi="Times New Roman" w:eastAsia="楷体_GB2312" w:cs="Times New Roman"/>
          <w:b/>
          <w:bCs/>
          <w:sz w:val="32"/>
          <w:szCs w:val="32"/>
          <w:lang w:val="en-US" w:eastAsia="zh-CN"/>
        </w:rPr>
        <w:t>.乡村振兴考核督查机制研究</w:t>
      </w:r>
    </w:p>
    <w:p>
      <w:pPr>
        <w:numPr>
          <w:ilvl w:val="0"/>
          <w:numId w:val="0"/>
        </w:numPr>
        <w:pBdr>
          <w:top w:val="none" w:color="auto" w:sz="0" w:space="1"/>
          <w:left w:val="none" w:color="auto" w:sz="0" w:space="4"/>
          <w:bottom w:val="none" w:color="auto" w:sz="0" w:space="1"/>
          <w:right w:val="none" w:color="auto" w:sz="0" w:space="4"/>
          <w:between w:val="none" w:color="auto" w:sz="0" w:space="0"/>
        </w:pBdr>
        <w:spacing w:line="60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val="0"/>
          <w:bCs w:val="0"/>
          <w:sz w:val="32"/>
          <w:szCs w:val="32"/>
          <w:lang w:val="en-US" w:eastAsia="zh-CN"/>
        </w:rPr>
        <w:t>结合“三农”工作特点和实施乡村振兴战略需要，梳理有关</w:t>
      </w:r>
      <w:r>
        <w:rPr>
          <w:rFonts w:hint="default" w:ascii="Times New Roman" w:hAnsi="Times New Roman" w:eastAsia="仿宋_GB2312" w:cs="Times New Roman"/>
          <w:b w:val="0"/>
          <w:bCs w:val="0"/>
          <w:sz w:val="32"/>
          <w:szCs w:val="32"/>
          <w:lang w:eastAsia="zh-CN"/>
        </w:rPr>
        <w:t>领域和部门</w:t>
      </w:r>
      <w:r>
        <w:rPr>
          <w:rFonts w:hint="eastAsia" w:ascii="Times New Roman" w:hAnsi="Times New Roman" w:eastAsia="仿宋_GB2312" w:cs="Times New Roman"/>
          <w:b w:val="0"/>
          <w:bCs w:val="0"/>
          <w:sz w:val="32"/>
          <w:szCs w:val="32"/>
          <w:lang w:val="en-US" w:eastAsia="zh-CN"/>
        </w:rPr>
        <w:t>考核</w:t>
      </w:r>
      <w:r>
        <w:rPr>
          <w:rFonts w:hint="default" w:ascii="Times New Roman" w:hAnsi="Times New Roman" w:eastAsia="仿宋_GB2312" w:cs="Times New Roman"/>
          <w:b w:val="0"/>
          <w:bCs w:val="0"/>
          <w:sz w:val="32"/>
          <w:szCs w:val="32"/>
          <w:lang w:eastAsia="zh-CN"/>
        </w:rPr>
        <w:t>督查的</w:t>
      </w:r>
      <w:r>
        <w:rPr>
          <w:rFonts w:hint="eastAsia" w:ascii="Times New Roman" w:hAnsi="Times New Roman" w:eastAsia="仿宋_GB2312" w:cs="Times New Roman"/>
          <w:b w:val="0"/>
          <w:bCs w:val="0"/>
          <w:sz w:val="32"/>
          <w:szCs w:val="32"/>
          <w:lang w:val="en-US" w:eastAsia="zh-CN"/>
        </w:rPr>
        <w:t>经验做法，</w:t>
      </w:r>
      <w:r>
        <w:rPr>
          <w:rFonts w:hint="default" w:ascii="Times New Roman" w:hAnsi="Times New Roman" w:eastAsia="仿宋_GB2312" w:cs="Times New Roman"/>
          <w:b w:val="0"/>
          <w:bCs w:val="0"/>
          <w:sz w:val="32"/>
          <w:szCs w:val="32"/>
          <w:lang w:eastAsia="zh-CN"/>
        </w:rPr>
        <w:t>就</w:t>
      </w:r>
      <w:r>
        <w:rPr>
          <w:rFonts w:hint="eastAsia" w:ascii="Times New Roman" w:hAnsi="Times New Roman" w:eastAsia="仿宋_GB2312" w:cs="Times New Roman"/>
          <w:b w:val="0"/>
          <w:bCs w:val="0"/>
          <w:sz w:val="32"/>
          <w:szCs w:val="32"/>
          <w:lang w:val="en-US" w:eastAsia="zh-CN"/>
        </w:rPr>
        <w:t>完善乡村振兴战略实绩考核机制，优化考核督查指标体系、步骤流程、结果运用等，提出针对性的政策建议。</w:t>
      </w:r>
    </w:p>
    <w:p>
      <w:pPr>
        <w:pStyle w:val="2"/>
      </w:pPr>
    </w:p>
    <w:sectPr>
      <w:footerReference r:id="rId3" w:type="default"/>
      <w:footerReference r:id="rId4" w:type="even"/>
      <w:pgSz w:w="11906" w:h="16838"/>
      <w:pgMar w:top="1440" w:right="1588" w:bottom="1440" w:left="1588" w:header="851" w:footer="992" w:gutter="0"/>
      <w:pgBorders>
        <w:top w:val="none" w:sz="0" w:space="0"/>
        <w:left w:val="none" w:sz="0" w:space="0"/>
        <w:bottom w:val="none" w:sz="0" w:space="0"/>
        <w:right w:val="none" w:sz="0" w:space="0"/>
      </w:pgBorders>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- 1 -</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FkNGNlNTliNTQwZTExZjZmZTAyMzViNzY0OTg5MmEifQ=="/>
  </w:docVars>
  <w:rsids>
    <w:rsidRoot w:val="00F5000A"/>
    <w:rsid w:val="00002F99"/>
    <w:rsid w:val="000040E6"/>
    <w:rsid w:val="00004DD0"/>
    <w:rsid w:val="0000765D"/>
    <w:rsid w:val="0001270B"/>
    <w:rsid w:val="00017654"/>
    <w:rsid w:val="00024EFE"/>
    <w:rsid w:val="00026DCC"/>
    <w:rsid w:val="0002759C"/>
    <w:rsid w:val="000332A9"/>
    <w:rsid w:val="00036B9C"/>
    <w:rsid w:val="00036C0D"/>
    <w:rsid w:val="00042762"/>
    <w:rsid w:val="000429B6"/>
    <w:rsid w:val="000438C0"/>
    <w:rsid w:val="000539F4"/>
    <w:rsid w:val="00057240"/>
    <w:rsid w:val="0007381A"/>
    <w:rsid w:val="00075761"/>
    <w:rsid w:val="00083E8F"/>
    <w:rsid w:val="00085650"/>
    <w:rsid w:val="00092589"/>
    <w:rsid w:val="000945A8"/>
    <w:rsid w:val="000A1BB5"/>
    <w:rsid w:val="000B1BDE"/>
    <w:rsid w:val="000B566A"/>
    <w:rsid w:val="000B5F60"/>
    <w:rsid w:val="000C3A84"/>
    <w:rsid w:val="000C618F"/>
    <w:rsid w:val="000E06B7"/>
    <w:rsid w:val="000E2F5D"/>
    <w:rsid w:val="00101194"/>
    <w:rsid w:val="00114F09"/>
    <w:rsid w:val="001157BB"/>
    <w:rsid w:val="001219D6"/>
    <w:rsid w:val="00122969"/>
    <w:rsid w:val="00125F5C"/>
    <w:rsid w:val="0013129C"/>
    <w:rsid w:val="001341E9"/>
    <w:rsid w:val="00140CCB"/>
    <w:rsid w:val="00146A80"/>
    <w:rsid w:val="00147441"/>
    <w:rsid w:val="001479D6"/>
    <w:rsid w:val="00152072"/>
    <w:rsid w:val="0015404B"/>
    <w:rsid w:val="00160C21"/>
    <w:rsid w:val="001612AD"/>
    <w:rsid w:val="0018167B"/>
    <w:rsid w:val="0018380C"/>
    <w:rsid w:val="00184093"/>
    <w:rsid w:val="00187923"/>
    <w:rsid w:val="00190A11"/>
    <w:rsid w:val="00197F60"/>
    <w:rsid w:val="001A7CD2"/>
    <w:rsid w:val="001B2773"/>
    <w:rsid w:val="001B303B"/>
    <w:rsid w:val="001B54E3"/>
    <w:rsid w:val="001C19CB"/>
    <w:rsid w:val="001D25B9"/>
    <w:rsid w:val="001D4B62"/>
    <w:rsid w:val="001D6365"/>
    <w:rsid w:val="001D7541"/>
    <w:rsid w:val="001E0A72"/>
    <w:rsid w:val="001E267E"/>
    <w:rsid w:val="001F2012"/>
    <w:rsid w:val="001F24E5"/>
    <w:rsid w:val="002066BB"/>
    <w:rsid w:val="002158F5"/>
    <w:rsid w:val="00215D58"/>
    <w:rsid w:val="0022152B"/>
    <w:rsid w:val="002309DD"/>
    <w:rsid w:val="00231731"/>
    <w:rsid w:val="00233E4D"/>
    <w:rsid w:val="002526D8"/>
    <w:rsid w:val="002602BD"/>
    <w:rsid w:val="00263A5D"/>
    <w:rsid w:val="00271A9B"/>
    <w:rsid w:val="002734A4"/>
    <w:rsid w:val="00274283"/>
    <w:rsid w:val="002742AC"/>
    <w:rsid w:val="00280597"/>
    <w:rsid w:val="00295775"/>
    <w:rsid w:val="002B0418"/>
    <w:rsid w:val="002B3079"/>
    <w:rsid w:val="002B6C47"/>
    <w:rsid w:val="002C37CB"/>
    <w:rsid w:val="002C4EC5"/>
    <w:rsid w:val="002C5F0A"/>
    <w:rsid w:val="002C6320"/>
    <w:rsid w:val="002E1D92"/>
    <w:rsid w:val="002E7B81"/>
    <w:rsid w:val="002F0347"/>
    <w:rsid w:val="002F321F"/>
    <w:rsid w:val="002F42E4"/>
    <w:rsid w:val="00300522"/>
    <w:rsid w:val="00303345"/>
    <w:rsid w:val="00305FED"/>
    <w:rsid w:val="00313459"/>
    <w:rsid w:val="00324077"/>
    <w:rsid w:val="003243FC"/>
    <w:rsid w:val="00325081"/>
    <w:rsid w:val="0033021D"/>
    <w:rsid w:val="0033240A"/>
    <w:rsid w:val="00340CD1"/>
    <w:rsid w:val="00344587"/>
    <w:rsid w:val="00347858"/>
    <w:rsid w:val="00354740"/>
    <w:rsid w:val="00355BB8"/>
    <w:rsid w:val="00361EBC"/>
    <w:rsid w:val="003660F6"/>
    <w:rsid w:val="003672AA"/>
    <w:rsid w:val="0037168D"/>
    <w:rsid w:val="00384EC7"/>
    <w:rsid w:val="00391877"/>
    <w:rsid w:val="00391C84"/>
    <w:rsid w:val="0039584D"/>
    <w:rsid w:val="003A615F"/>
    <w:rsid w:val="003B31E1"/>
    <w:rsid w:val="003B5DE6"/>
    <w:rsid w:val="003C2DD0"/>
    <w:rsid w:val="003C6A4F"/>
    <w:rsid w:val="003D01E6"/>
    <w:rsid w:val="003D0D77"/>
    <w:rsid w:val="003D4A11"/>
    <w:rsid w:val="003E5255"/>
    <w:rsid w:val="003F026C"/>
    <w:rsid w:val="003F5D91"/>
    <w:rsid w:val="00404C37"/>
    <w:rsid w:val="00412D1C"/>
    <w:rsid w:val="00421DCD"/>
    <w:rsid w:val="0043371F"/>
    <w:rsid w:val="00436029"/>
    <w:rsid w:val="00442946"/>
    <w:rsid w:val="004440EE"/>
    <w:rsid w:val="00444589"/>
    <w:rsid w:val="00450D79"/>
    <w:rsid w:val="00451C83"/>
    <w:rsid w:val="00453E4B"/>
    <w:rsid w:val="0047352A"/>
    <w:rsid w:val="00485A64"/>
    <w:rsid w:val="00485D5D"/>
    <w:rsid w:val="00487970"/>
    <w:rsid w:val="004A085E"/>
    <w:rsid w:val="004A4057"/>
    <w:rsid w:val="004B34DA"/>
    <w:rsid w:val="004B47CC"/>
    <w:rsid w:val="004C0C94"/>
    <w:rsid w:val="004D1C44"/>
    <w:rsid w:val="004D7B11"/>
    <w:rsid w:val="004E4673"/>
    <w:rsid w:val="004F08A9"/>
    <w:rsid w:val="004F2DAB"/>
    <w:rsid w:val="004F7E9C"/>
    <w:rsid w:val="0050606D"/>
    <w:rsid w:val="00506621"/>
    <w:rsid w:val="00514326"/>
    <w:rsid w:val="00514A32"/>
    <w:rsid w:val="00514BD1"/>
    <w:rsid w:val="00532101"/>
    <w:rsid w:val="00532200"/>
    <w:rsid w:val="005531CE"/>
    <w:rsid w:val="00554818"/>
    <w:rsid w:val="00554C7A"/>
    <w:rsid w:val="00555B7D"/>
    <w:rsid w:val="0057149E"/>
    <w:rsid w:val="0057654F"/>
    <w:rsid w:val="0059745E"/>
    <w:rsid w:val="005A16F1"/>
    <w:rsid w:val="005A1A63"/>
    <w:rsid w:val="005A6D23"/>
    <w:rsid w:val="005B1C84"/>
    <w:rsid w:val="005B26F1"/>
    <w:rsid w:val="005B5501"/>
    <w:rsid w:val="005C0B8D"/>
    <w:rsid w:val="005C2553"/>
    <w:rsid w:val="005D0584"/>
    <w:rsid w:val="005D1B9B"/>
    <w:rsid w:val="005D393B"/>
    <w:rsid w:val="005E0CD9"/>
    <w:rsid w:val="005E3A48"/>
    <w:rsid w:val="005E7D37"/>
    <w:rsid w:val="005F47B2"/>
    <w:rsid w:val="006040C2"/>
    <w:rsid w:val="006054B0"/>
    <w:rsid w:val="00607100"/>
    <w:rsid w:val="00607844"/>
    <w:rsid w:val="00610A52"/>
    <w:rsid w:val="0061431D"/>
    <w:rsid w:val="0061712A"/>
    <w:rsid w:val="006212BD"/>
    <w:rsid w:val="006254FE"/>
    <w:rsid w:val="006307AD"/>
    <w:rsid w:val="00633461"/>
    <w:rsid w:val="00633D46"/>
    <w:rsid w:val="00637D0F"/>
    <w:rsid w:val="0065464B"/>
    <w:rsid w:val="0065528B"/>
    <w:rsid w:val="00657412"/>
    <w:rsid w:val="006604B6"/>
    <w:rsid w:val="00666E51"/>
    <w:rsid w:val="0068207D"/>
    <w:rsid w:val="0068388C"/>
    <w:rsid w:val="0069362C"/>
    <w:rsid w:val="00695255"/>
    <w:rsid w:val="006A00D3"/>
    <w:rsid w:val="006A3628"/>
    <w:rsid w:val="006D0A3B"/>
    <w:rsid w:val="006D42F4"/>
    <w:rsid w:val="006E7974"/>
    <w:rsid w:val="00700199"/>
    <w:rsid w:val="007263E0"/>
    <w:rsid w:val="007276F1"/>
    <w:rsid w:val="00731209"/>
    <w:rsid w:val="00740BE8"/>
    <w:rsid w:val="00766458"/>
    <w:rsid w:val="0077714D"/>
    <w:rsid w:val="00786222"/>
    <w:rsid w:val="007874A1"/>
    <w:rsid w:val="00795880"/>
    <w:rsid w:val="007A0B55"/>
    <w:rsid w:val="007A0EDA"/>
    <w:rsid w:val="007A20F1"/>
    <w:rsid w:val="007A677B"/>
    <w:rsid w:val="007B3328"/>
    <w:rsid w:val="007B450B"/>
    <w:rsid w:val="007D10D1"/>
    <w:rsid w:val="007D4BEF"/>
    <w:rsid w:val="007D55F6"/>
    <w:rsid w:val="007E1C32"/>
    <w:rsid w:val="007E2C7D"/>
    <w:rsid w:val="007E4337"/>
    <w:rsid w:val="007F0725"/>
    <w:rsid w:val="007F67CB"/>
    <w:rsid w:val="007F7EF1"/>
    <w:rsid w:val="00804293"/>
    <w:rsid w:val="00807A5D"/>
    <w:rsid w:val="00811796"/>
    <w:rsid w:val="008168F7"/>
    <w:rsid w:val="0082143B"/>
    <w:rsid w:val="00830E52"/>
    <w:rsid w:val="008322B6"/>
    <w:rsid w:val="00835559"/>
    <w:rsid w:val="00842B07"/>
    <w:rsid w:val="00850B2C"/>
    <w:rsid w:val="008647F4"/>
    <w:rsid w:val="00871FCD"/>
    <w:rsid w:val="00872701"/>
    <w:rsid w:val="00873402"/>
    <w:rsid w:val="008776DA"/>
    <w:rsid w:val="00881B89"/>
    <w:rsid w:val="00883C07"/>
    <w:rsid w:val="008841A1"/>
    <w:rsid w:val="0088791E"/>
    <w:rsid w:val="00895452"/>
    <w:rsid w:val="008A20CE"/>
    <w:rsid w:val="008A50FD"/>
    <w:rsid w:val="008B014A"/>
    <w:rsid w:val="008C07E4"/>
    <w:rsid w:val="008C3A0C"/>
    <w:rsid w:val="008D4173"/>
    <w:rsid w:val="008D52D3"/>
    <w:rsid w:val="008D58D2"/>
    <w:rsid w:val="008E6FDD"/>
    <w:rsid w:val="00903392"/>
    <w:rsid w:val="0090498E"/>
    <w:rsid w:val="009119C8"/>
    <w:rsid w:val="00920AAC"/>
    <w:rsid w:val="0092740D"/>
    <w:rsid w:val="00931DEE"/>
    <w:rsid w:val="00944C90"/>
    <w:rsid w:val="009461F8"/>
    <w:rsid w:val="009535B1"/>
    <w:rsid w:val="009556BE"/>
    <w:rsid w:val="009577E6"/>
    <w:rsid w:val="009622F9"/>
    <w:rsid w:val="00964292"/>
    <w:rsid w:val="009742F2"/>
    <w:rsid w:val="009807EB"/>
    <w:rsid w:val="00983343"/>
    <w:rsid w:val="00983806"/>
    <w:rsid w:val="009866AE"/>
    <w:rsid w:val="00992AA5"/>
    <w:rsid w:val="00997214"/>
    <w:rsid w:val="009A069B"/>
    <w:rsid w:val="009A7D95"/>
    <w:rsid w:val="009C146A"/>
    <w:rsid w:val="009C18F3"/>
    <w:rsid w:val="009C45B7"/>
    <w:rsid w:val="009C660A"/>
    <w:rsid w:val="009D31B4"/>
    <w:rsid w:val="009E2D79"/>
    <w:rsid w:val="009E739A"/>
    <w:rsid w:val="009F5FB0"/>
    <w:rsid w:val="00A0007D"/>
    <w:rsid w:val="00A079AE"/>
    <w:rsid w:val="00A10CEA"/>
    <w:rsid w:val="00A12988"/>
    <w:rsid w:val="00A15BFA"/>
    <w:rsid w:val="00A20696"/>
    <w:rsid w:val="00A20C1F"/>
    <w:rsid w:val="00A2407F"/>
    <w:rsid w:val="00A26C4E"/>
    <w:rsid w:val="00A31004"/>
    <w:rsid w:val="00A3716A"/>
    <w:rsid w:val="00A437B7"/>
    <w:rsid w:val="00A444E2"/>
    <w:rsid w:val="00A45906"/>
    <w:rsid w:val="00A51092"/>
    <w:rsid w:val="00A76710"/>
    <w:rsid w:val="00A85E0C"/>
    <w:rsid w:val="00AA4AB3"/>
    <w:rsid w:val="00AA6F84"/>
    <w:rsid w:val="00AA773B"/>
    <w:rsid w:val="00AB1003"/>
    <w:rsid w:val="00AC1669"/>
    <w:rsid w:val="00AC48DE"/>
    <w:rsid w:val="00AC4908"/>
    <w:rsid w:val="00AD4FE7"/>
    <w:rsid w:val="00AF0DE8"/>
    <w:rsid w:val="00AF1714"/>
    <w:rsid w:val="00AF1822"/>
    <w:rsid w:val="00AF29B1"/>
    <w:rsid w:val="00AF30C7"/>
    <w:rsid w:val="00AF3846"/>
    <w:rsid w:val="00B031A0"/>
    <w:rsid w:val="00B1456C"/>
    <w:rsid w:val="00B22838"/>
    <w:rsid w:val="00B24191"/>
    <w:rsid w:val="00B27246"/>
    <w:rsid w:val="00B310FB"/>
    <w:rsid w:val="00B33366"/>
    <w:rsid w:val="00B47923"/>
    <w:rsid w:val="00B553D0"/>
    <w:rsid w:val="00B56B87"/>
    <w:rsid w:val="00B570A7"/>
    <w:rsid w:val="00B6085B"/>
    <w:rsid w:val="00B64752"/>
    <w:rsid w:val="00B67735"/>
    <w:rsid w:val="00B8546B"/>
    <w:rsid w:val="00B92832"/>
    <w:rsid w:val="00BA4AE2"/>
    <w:rsid w:val="00BA7344"/>
    <w:rsid w:val="00BB1532"/>
    <w:rsid w:val="00BB2B39"/>
    <w:rsid w:val="00BC3DC2"/>
    <w:rsid w:val="00BD02E1"/>
    <w:rsid w:val="00BD07EA"/>
    <w:rsid w:val="00BD087D"/>
    <w:rsid w:val="00BD6ECB"/>
    <w:rsid w:val="00BE11D2"/>
    <w:rsid w:val="00BE418E"/>
    <w:rsid w:val="00BE50E7"/>
    <w:rsid w:val="00BE5AD5"/>
    <w:rsid w:val="00BF38B7"/>
    <w:rsid w:val="00C03251"/>
    <w:rsid w:val="00C174BB"/>
    <w:rsid w:val="00C21DCC"/>
    <w:rsid w:val="00C2481F"/>
    <w:rsid w:val="00C24E04"/>
    <w:rsid w:val="00C26FFE"/>
    <w:rsid w:val="00C30ED5"/>
    <w:rsid w:val="00C31824"/>
    <w:rsid w:val="00C34FEF"/>
    <w:rsid w:val="00C35B0D"/>
    <w:rsid w:val="00C4231F"/>
    <w:rsid w:val="00C428EF"/>
    <w:rsid w:val="00C4324E"/>
    <w:rsid w:val="00C52343"/>
    <w:rsid w:val="00C55604"/>
    <w:rsid w:val="00C55DF8"/>
    <w:rsid w:val="00C57647"/>
    <w:rsid w:val="00C60951"/>
    <w:rsid w:val="00C70696"/>
    <w:rsid w:val="00C74185"/>
    <w:rsid w:val="00C7607F"/>
    <w:rsid w:val="00C86123"/>
    <w:rsid w:val="00C91B1B"/>
    <w:rsid w:val="00C93BED"/>
    <w:rsid w:val="00CA50D9"/>
    <w:rsid w:val="00CA55FE"/>
    <w:rsid w:val="00CA76F4"/>
    <w:rsid w:val="00CB695D"/>
    <w:rsid w:val="00CC3A04"/>
    <w:rsid w:val="00CC665E"/>
    <w:rsid w:val="00CD030E"/>
    <w:rsid w:val="00CD1CA5"/>
    <w:rsid w:val="00CD5859"/>
    <w:rsid w:val="00CF2291"/>
    <w:rsid w:val="00CF236C"/>
    <w:rsid w:val="00CF2C68"/>
    <w:rsid w:val="00CF77D3"/>
    <w:rsid w:val="00D007E6"/>
    <w:rsid w:val="00D07FF0"/>
    <w:rsid w:val="00D118BC"/>
    <w:rsid w:val="00D12AA9"/>
    <w:rsid w:val="00D140D6"/>
    <w:rsid w:val="00D278F6"/>
    <w:rsid w:val="00D35769"/>
    <w:rsid w:val="00D40A58"/>
    <w:rsid w:val="00D41C9E"/>
    <w:rsid w:val="00D42BFE"/>
    <w:rsid w:val="00D47D08"/>
    <w:rsid w:val="00D50BCB"/>
    <w:rsid w:val="00D538E5"/>
    <w:rsid w:val="00D55094"/>
    <w:rsid w:val="00D55C36"/>
    <w:rsid w:val="00D63077"/>
    <w:rsid w:val="00D6736E"/>
    <w:rsid w:val="00D723FD"/>
    <w:rsid w:val="00D75203"/>
    <w:rsid w:val="00D75B1E"/>
    <w:rsid w:val="00DA5E80"/>
    <w:rsid w:val="00DB7782"/>
    <w:rsid w:val="00DC12E6"/>
    <w:rsid w:val="00DC4EE3"/>
    <w:rsid w:val="00DC5AAF"/>
    <w:rsid w:val="00DC72A2"/>
    <w:rsid w:val="00DD45E5"/>
    <w:rsid w:val="00DE1B1C"/>
    <w:rsid w:val="00DF0A67"/>
    <w:rsid w:val="00DF7F96"/>
    <w:rsid w:val="00E04D8D"/>
    <w:rsid w:val="00E10976"/>
    <w:rsid w:val="00E11C59"/>
    <w:rsid w:val="00E12990"/>
    <w:rsid w:val="00E1544E"/>
    <w:rsid w:val="00E20155"/>
    <w:rsid w:val="00E2016B"/>
    <w:rsid w:val="00E25547"/>
    <w:rsid w:val="00E25D7A"/>
    <w:rsid w:val="00E27688"/>
    <w:rsid w:val="00E31D17"/>
    <w:rsid w:val="00E31EF8"/>
    <w:rsid w:val="00E321AB"/>
    <w:rsid w:val="00E33F6F"/>
    <w:rsid w:val="00E35B8C"/>
    <w:rsid w:val="00E430FA"/>
    <w:rsid w:val="00E452C5"/>
    <w:rsid w:val="00E47CCB"/>
    <w:rsid w:val="00E52CF6"/>
    <w:rsid w:val="00E55DD7"/>
    <w:rsid w:val="00E604A6"/>
    <w:rsid w:val="00E61F9E"/>
    <w:rsid w:val="00E62701"/>
    <w:rsid w:val="00E656AC"/>
    <w:rsid w:val="00E67D87"/>
    <w:rsid w:val="00E72F62"/>
    <w:rsid w:val="00E75CF0"/>
    <w:rsid w:val="00E81ABE"/>
    <w:rsid w:val="00E81C89"/>
    <w:rsid w:val="00E82493"/>
    <w:rsid w:val="00E829FB"/>
    <w:rsid w:val="00E8448F"/>
    <w:rsid w:val="00E92317"/>
    <w:rsid w:val="00E958A7"/>
    <w:rsid w:val="00EA3369"/>
    <w:rsid w:val="00EB37C2"/>
    <w:rsid w:val="00EB5AA9"/>
    <w:rsid w:val="00ED5F3F"/>
    <w:rsid w:val="00EE06AA"/>
    <w:rsid w:val="00EE30DF"/>
    <w:rsid w:val="00EF371F"/>
    <w:rsid w:val="00EF62B4"/>
    <w:rsid w:val="00EF6D69"/>
    <w:rsid w:val="00F02A2D"/>
    <w:rsid w:val="00F076F0"/>
    <w:rsid w:val="00F10BAF"/>
    <w:rsid w:val="00F12DFC"/>
    <w:rsid w:val="00F16410"/>
    <w:rsid w:val="00F171BB"/>
    <w:rsid w:val="00F21919"/>
    <w:rsid w:val="00F23141"/>
    <w:rsid w:val="00F258C8"/>
    <w:rsid w:val="00F33F31"/>
    <w:rsid w:val="00F34D2C"/>
    <w:rsid w:val="00F373C1"/>
    <w:rsid w:val="00F421F4"/>
    <w:rsid w:val="00F5000A"/>
    <w:rsid w:val="00F53C45"/>
    <w:rsid w:val="00F60CC7"/>
    <w:rsid w:val="00F646C2"/>
    <w:rsid w:val="00F860CF"/>
    <w:rsid w:val="00F869E5"/>
    <w:rsid w:val="00F926F8"/>
    <w:rsid w:val="00F92AF2"/>
    <w:rsid w:val="00F95E9F"/>
    <w:rsid w:val="00FA01A9"/>
    <w:rsid w:val="00FA42EC"/>
    <w:rsid w:val="00FC0DD2"/>
    <w:rsid w:val="00FC4522"/>
    <w:rsid w:val="00FD06C0"/>
    <w:rsid w:val="00FD31E9"/>
    <w:rsid w:val="00FE05B4"/>
    <w:rsid w:val="00FE7968"/>
    <w:rsid w:val="167FEB72"/>
    <w:rsid w:val="1CDB03AA"/>
    <w:rsid w:val="1D3A1653"/>
    <w:rsid w:val="1D6A513D"/>
    <w:rsid w:val="1EBE54F9"/>
    <w:rsid w:val="1FFF26B6"/>
    <w:rsid w:val="28EC6821"/>
    <w:rsid w:val="2AFA2453"/>
    <w:rsid w:val="2CFEFC82"/>
    <w:rsid w:val="2E312214"/>
    <w:rsid w:val="2EE4300A"/>
    <w:rsid w:val="479D0581"/>
    <w:rsid w:val="4AAA0809"/>
    <w:rsid w:val="4DCA0FAD"/>
    <w:rsid w:val="4F575F14"/>
    <w:rsid w:val="52FD237A"/>
    <w:rsid w:val="53DDC446"/>
    <w:rsid w:val="5957938C"/>
    <w:rsid w:val="59F3CB96"/>
    <w:rsid w:val="5FD73028"/>
    <w:rsid w:val="67CF348E"/>
    <w:rsid w:val="67FFA73A"/>
    <w:rsid w:val="6BE9B3CC"/>
    <w:rsid w:val="6DCF4B32"/>
    <w:rsid w:val="6FDD986E"/>
    <w:rsid w:val="737BD05A"/>
    <w:rsid w:val="73F3BDBC"/>
    <w:rsid w:val="75450131"/>
    <w:rsid w:val="77F77A9A"/>
    <w:rsid w:val="79D06885"/>
    <w:rsid w:val="7ABFFDF9"/>
    <w:rsid w:val="7BDF721B"/>
    <w:rsid w:val="7DA80FD8"/>
    <w:rsid w:val="7DF7486B"/>
    <w:rsid w:val="7FFF774C"/>
    <w:rsid w:val="7FFFB538"/>
    <w:rsid w:val="877FC32F"/>
    <w:rsid w:val="9BCECE1A"/>
    <w:rsid w:val="9ECFB15C"/>
    <w:rsid w:val="9F2482DB"/>
    <w:rsid w:val="A2EA9A23"/>
    <w:rsid w:val="BD3B8222"/>
    <w:rsid w:val="BDBEBFB7"/>
    <w:rsid w:val="BEBDD37A"/>
    <w:rsid w:val="CF515B12"/>
    <w:rsid w:val="CFFF80F3"/>
    <w:rsid w:val="D6ABC459"/>
    <w:rsid w:val="DB8FF4AC"/>
    <w:rsid w:val="EBD9D621"/>
    <w:rsid w:val="EDA9C99A"/>
    <w:rsid w:val="EFFAAE2B"/>
    <w:rsid w:val="F2BF476E"/>
    <w:rsid w:val="F37B4A54"/>
    <w:rsid w:val="F7F75325"/>
    <w:rsid w:val="FCE4CD58"/>
    <w:rsid w:val="FFBB2420"/>
    <w:rsid w:val="FFBF06EB"/>
    <w:rsid w:val="FFFFDC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qFormat/>
    <w:uiPriority w:val="0"/>
    <w:pPr>
      <w:spacing w:after="120"/>
      <w:textAlignment w:val="baseline"/>
    </w:pPr>
    <w:rPr>
      <w:rFonts w:ascii="Calibri" w:hAnsi="Calibri"/>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Strong"/>
    <w:qFormat/>
    <w:uiPriority w:val="0"/>
    <w:rPr>
      <w:b/>
      <w:bCs/>
    </w:rPr>
  </w:style>
  <w:style w:type="character" w:styleId="10">
    <w:name w:val="page number"/>
    <w:basedOn w:val="8"/>
    <w:qFormat/>
    <w:uiPriority w:val="0"/>
  </w:style>
  <w:style w:type="character" w:styleId="11">
    <w:name w:val="Emphasis"/>
    <w:qFormat/>
    <w:uiPriority w:val="0"/>
    <w:rPr>
      <w:i/>
      <w:iCs/>
    </w:rPr>
  </w:style>
  <w:style w:type="character" w:styleId="12">
    <w:name w:val="Hyperlink"/>
    <w:qFormat/>
    <w:uiPriority w:val="0"/>
    <w:rPr>
      <w:color w:val="0000FF"/>
      <w:u w:val="single"/>
    </w:rPr>
  </w:style>
  <w:style w:type="character" w:customStyle="1" w:styleId="13">
    <w:name w:val="页眉 字符"/>
    <w:link w:val="5"/>
    <w:qFormat/>
    <w:uiPriority w:val="0"/>
    <w:rPr>
      <w:kern w:val="2"/>
      <w:sz w:val="18"/>
      <w:szCs w:val="18"/>
    </w:rPr>
  </w:style>
  <w:style w:type="paragraph" w:customStyle="1" w:styleId="14">
    <w:name w:val="Char Char Char1 Char Char Char Char Char Char Char Char Char Char Char Char Char Char Char Char Char Char Char"/>
    <w:basedOn w:val="1"/>
    <w:qFormat/>
    <w:uiPriority w:val="0"/>
    <w:pPr>
      <w:widowControl/>
      <w:spacing w:after="160" w:line="240" w:lineRule="exact"/>
      <w:jc w:val="left"/>
    </w:pPr>
    <w:rPr>
      <w:szCs w:val="20"/>
    </w:rPr>
  </w:style>
  <w:style w:type="paragraph" w:customStyle="1" w:styleId="15">
    <w:name w:val="Char"/>
    <w:basedOn w:val="1"/>
    <w:qFormat/>
    <w:uiPriority w:val="0"/>
    <w:pPr>
      <w:tabs>
        <w:tab w:val="left" w:pos="420"/>
      </w:tabs>
      <w:ind w:left="420" w:hanging="420"/>
    </w:pPr>
    <w:rPr>
      <w:rFonts w:ascii="宋体" w:hAnsi="宋体" w:eastAsia="仿宋_GB2312"/>
      <w:spacing w:val="6"/>
      <w:sz w:val="30"/>
      <w:szCs w:val="20"/>
    </w:rPr>
  </w:style>
  <w:style w:type="paragraph" w:customStyle="1" w:styleId="16">
    <w:name w:val="Char Char Char1 Char Char Char Char Char Char Char Char Char Char Char Char Char Char Char Char Char Char Char1"/>
    <w:basedOn w:val="1"/>
    <w:qFormat/>
    <w:uiPriority w:val="0"/>
    <w:pPr>
      <w:widowControl/>
      <w:spacing w:after="160" w:line="240" w:lineRule="exact"/>
      <w:jc w:val="left"/>
    </w:pPr>
    <w:rPr>
      <w:szCs w:val="20"/>
    </w:rPr>
  </w:style>
  <w:style w:type="paragraph" w:customStyle="1" w:styleId="17">
    <w:name w:val="Char Char Char Char Char Char Char Char1 Char Char Char1 Char Char Char Char Char Char 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8">
    <w:name w:val="各章标题"/>
    <w:basedOn w:val="1"/>
    <w:qFormat/>
    <w:uiPriority w:val="0"/>
    <w:pPr>
      <w:widowControl/>
      <w:spacing w:after="160" w:line="240" w:lineRule="exact"/>
      <w:jc w:val="left"/>
    </w:pPr>
    <w:rPr>
      <w:rFonts w:ascii="Cambria" w:hAnsi="Cambria"/>
      <w:kern w:val="0"/>
      <w:sz w:val="22"/>
      <w:szCs w:val="20"/>
    </w:rPr>
  </w:style>
  <w:style w:type="paragraph" w:styleId="19">
    <w:name w:val="List Paragraph"/>
    <w:basedOn w:val="1"/>
    <w:qFormat/>
    <w:uiPriority w:val="34"/>
    <w:pPr>
      <w:widowControl/>
      <w:ind w:firstLine="420" w:firstLineChars="200"/>
      <w:jc w:val="left"/>
    </w:pPr>
    <w:rPr>
      <w:rFonts w:ascii="宋体" w:hAnsi="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12</Pages>
  <Words>5399</Words>
  <Characters>5560</Characters>
  <Lines>28</Lines>
  <Paragraphs>7</Paragraphs>
  <TotalTime>13</TotalTime>
  <ScaleCrop>false</ScaleCrop>
  <LinksUpToDate>false</LinksUpToDate>
  <CharactersWithSpaces>5573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2022-02-17T17:42:00Z</dcterms:created>
  <dc:creator>Lenovo User</dc:creator>
  <cp:lastModifiedBy>下弦之月</cp:lastModifiedBy>
  <cp:lastPrinted>2023-02-21T19:16:00Z</cp:lastPrinted>
  <dcterms:modified xsi:type="dcterms:W3CDTF">2023-02-23T07:11:29Z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84D0F118D91B472594EE17F43A972C03</vt:lpwstr>
  </property>
</Properties>
</file>